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embeddings/oleObject11.bin" ContentType="application/vnd.openxmlformats-officedocument.oleObject"/>
  <Override PartName="/word/embeddings/oleObject4.bin" ContentType="application/vnd.openxmlformats-officedocument.oleObject"/>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media/image19.wmf" ContentType="image/x-wmf"/>
  <Override PartName="/word/media/image18.wmf" ContentType="image/x-wmf"/>
  <Override PartName="/word/media/image17.wmf" ContentType="image/x-wmf"/>
  <Override PartName="/word/media/image16.wmf" ContentType="image/x-wmf"/>
  <Override PartName="/word/media/image15.png" ContentType="image/png"/>
  <Override PartName="/word/media/image14.png" ContentType="image/png"/>
  <Override PartName="/word/media/image13.png" ContentType="image/png"/>
  <Override PartName="/word/media/image12.png" ContentType="image/png"/>
  <Override PartName="/word/media/image4.wmf" ContentType="image/x-wmf"/>
  <Override PartName="/word/media/image3.png" ContentType="image/png"/>
  <Override PartName="/word/media/image2.wmf" ContentType="image/x-wmf"/>
  <Override PartName="/word/media/image11.png" ContentType="image/png"/>
  <Override PartName="/word/media/image1.jpeg" ContentType="image/jpeg"/>
  <Override PartName="/word/media/image6.png" ContentType="image/png"/>
  <Override PartName="/word/media/image5.png" ContentType="image/png"/>
  <Override PartName="/word/media/image7.png" ContentType="image/png"/>
  <Override PartName="/word/media/image8.png" ContentType="image/png"/>
  <Override PartName="/word/media/image10.png" ContentType="image/png"/>
  <Override PartName="/word/media/image9.png" ContentType="image/png"/>
  <Override PartName="/word/header6.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00" w:type="pct"/>
        <w:jc w:val="left"/>
        <w:tblInd w:w="0" w:type="dxa"/>
        <w:tblCellMar>
          <w:top w:w="0" w:type="dxa"/>
          <w:left w:w="108" w:type="dxa"/>
          <w:bottom w:w="0" w:type="dxa"/>
          <w:right w:w="108" w:type="dxa"/>
        </w:tblCellMar>
        <w:tblLook w:val="00a0" w:noVBand="0" w:noHBand="0" w:lastColumn="0" w:firstColumn="1" w:lastRow="0" w:firstRow="1"/>
      </w:tblPr>
      <w:tblGrid>
        <w:gridCol w:w="2907"/>
        <w:gridCol w:w="3675"/>
        <w:gridCol w:w="3055"/>
      </w:tblGrid>
      <w:tr>
        <w:trPr>
          <w:trHeight w:val="1418" w:hRule="exact"/>
        </w:trPr>
        <w:tc>
          <w:tcPr>
            <w:tcW w:w="9637" w:type="dxa"/>
            <w:gridSpan w:val="3"/>
            <w:tcBorders>
              <w:top w:val="single" w:sz="36" w:space="0" w:color="000000"/>
              <w:bottom w:val="single" w:sz="36" w:space="0" w:color="000000"/>
            </w:tcBorders>
            <w:shd w:fill="auto" w:val="clear"/>
            <w:vAlign w:val="center"/>
          </w:tcPr>
          <w:p>
            <w:pPr>
              <w:pStyle w:val="Normal"/>
              <w:spacing w:before="0" w:after="180"/>
              <w:jc w:val="center"/>
              <w:rPr>
                <w:rFonts w:ascii="Arial" w:hAnsi="Arial" w:cs="Arial"/>
                <w:b/>
                <w:b/>
                <w:sz w:val="28"/>
                <w:szCs w:val="28"/>
              </w:rPr>
            </w:pPr>
            <w:r>
              <w:rPr>
                <w:rFonts w:cs="Arial" w:ascii="Arial" w:hAnsi="Arial"/>
                <w:b/>
                <w:position w:val="3"/>
                <w:sz w:val="14"/>
                <w:szCs w:val="14"/>
              </w:rPr>
              <w:t xml:space="preserve">ФЕДЕРАЛЬНОЕ АГЕНТСТВО </w:t>
            </w:r>
          </w:p>
          <w:p>
            <w:pPr>
              <w:pStyle w:val="Normal"/>
              <w:spacing w:before="0" w:after="180"/>
              <w:jc w:val="center"/>
              <w:rPr>
                <w:rFonts w:ascii="Arial" w:hAnsi="Arial" w:cs="Arial"/>
                <w:b/>
                <w:b/>
                <w:sz w:val="18"/>
                <w:szCs w:val="28"/>
              </w:rPr>
            </w:pPr>
            <w:r>
              <w:rPr>
                <w:rFonts w:cs="Arial" w:ascii="Arial" w:hAnsi="Arial"/>
                <w:b/>
                <w:sz w:val="14"/>
                <w:szCs w:val="14"/>
              </w:rPr>
              <w:t>ПО ТЕХНИЧЕСКОМУ РЕГУЛИРОВАНИЮ И МЕТРОЛОГИИ</w:t>
            </w:r>
          </w:p>
        </w:tc>
      </w:tr>
      <w:tr>
        <w:trPr>
          <w:trHeight w:val="3057" w:hRule="exact"/>
        </w:trPr>
        <w:tc>
          <w:tcPr>
            <w:tcW w:w="2907" w:type="dxa"/>
            <w:tcBorders>
              <w:bottom w:val="single" w:sz="24" w:space="0" w:color="000000"/>
            </w:tcBorders>
            <w:shd w:fill="auto" w:val="clear"/>
            <w:vAlign w:val="center"/>
          </w:tcPr>
          <w:p>
            <w:pPr>
              <w:pStyle w:val="Normal"/>
              <w:spacing w:before="0" w:after="200"/>
              <w:jc w:val="center"/>
              <w:rPr>
                <w:rFonts w:ascii="Arial" w:hAnsi="Arial" w:cs="Arial"/>
                <w:b/>
                <w:b/>
                <w:spacing w:val="60"/>
                <w:szCs w:val="28"/>
              </w:rPr>
            </w:pPr>
            <w:r>
              <w:rPr>
                <w:sz w:val="14"/>
                <w:szCs w:val="14"/>
              </w:rPr>
              <w:drawing>
                <wp:inline distT="0" distB="0" distL="0" distR="0">
                  <wp:extent cx="1583055" cy="1041400"/>
                  <wp:effectExtent l="0" t="0" r="0" b="0"/>
                  <wp:docPr id="1" name="Рисунок 1" descr="https://avatars.mds.yandex.net/get-zen_doc/1328466/pub_5b5711f4594dd500a974b506_5b5712f550919400ac55f53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zen_doc/1328466/pub_5b5711f4594dd500a974b506_5b5712f550919400ac55f536/scale_2400"/>
                          <pic:cNvPicPr>
                            <a:picLocks noChangeAspect="1" noChangeArrowheads="1"/>
                          </pic:cNvPicPr>
                        </pic:nvPicPr>
                        <pic:blipFill>
                          <a:blip r:embed="rId2"/>
                          <a:srcRect l="24973" t="14323" r="21916" b="18029"/>
                          <a:stretch>
                            <a:fillRect/>
                          </a:stretch>
                        </pic:blipFill>
                        <pic:spPr bwMode="auto">
                          <a:xfrm>
                            <a:off x="0" y="0"/>
                            <a:ext cx="1583055" cy="1041400"/>
                          </a:xfrm>
                          <a:prstGeom prst="rect">
                            <a:avLst/>
                          </a:prstGeom>
                        </pic:spPr>
                      </pic:pic>
                    </a:graphicData>
                  </a:graphic>
                </wp:inline>
              </w:drawing>
            </w:r>
          </w:p>
        </w:tc>
        <w:tc>
          <w:tcPr>
            <w:tcW w:w="3675" w:type="dxa"/>
            <w:tcBorders>
              <w:bottom w:val="single" w:sz="24" w:space="0" w:color="000000"/>
            </w:tcBorders>
            <w:shd w:fill="auto" w:val="clear"/>
            <w:vAlign w:val="center"/>
          </w:tcPr>
          <w:p>
            <w:pPr>
              <w:pStyle w:val="Normal"/>
              <w:spacing w:lineRule="auto" w:line="240" w:before="0" w:after="0"/>
              <w:jc w:val="center"/>
              <w:rPr>
                <w:rFonts w:ascii="Arial" w:hAnsi="Arial" w:cs="Arial"/>
                <w:b/>
                <w:b/>
                <w:spacing w:val="60"/>
                <w:sz w:val="28"/>
                <w:szCs w:val="28"/>
              </w:rPr>
            </w:pPr>
            <w:r>
              <w:rPr>
                <w:rFonts w:cs="Arial" w:ascii="Arial" w:hAnsi="Arial"/>
                <w:b/>
                <w:spacing w:val="60"/>
                <w:sz w:val="14"/>
                <w:szCs w:val="14"/>
              </w:rPr>
              <w:t>НАЦИОНАЛЬНЫЙ</w:t>
            </w:r>
          </w:p>
          <w:p>
            <w:pPr>
              <w:pStyle w:val="Normal"/>
              <w:spacing w:lineRule="auto" w:line="240" w:before="0" w:after="0"/>
              <w:jc w:val="center"/>
              <w:rPr>
                <w:rFonts w:ascii="Arial" w:hAnsi="Arial" w:cs="Arial"/>
                <w:b/>
                <w:b/>
                <w:spacing w:val="60"/>
                <w:sz w:val="28"/>
                <w:szCs w:val="28"/>
              </w:rPr>
            </w:pPr>
            <w:r>
              <w:rPr>
                <w:rFonts w:cs="Arial" w:ascii="Arial" w:hAnsi="Arial"/>
                <w:b/>
                <w:spacing w:val="60"/>
                <w:sz w:val="14"/>
                <w:szCs w:val="14"/>
              </w:rPr>
              <w:t>СТАНДАРТ</w:t>
            </w:r>
          </w:p>
          <w:p>
            <w:pPr>
              <w:pStyle w:val="Normal"/>
              <w:spacing w:lineRule="auto" w:line="240" w:before="0" w:after="0"/>
              <w:jc w:val="center"/>
              <w:rPr>
                <w:rFonts w:ascii="Arial" w:hAnsi="Arial" w:cs="Arial"/>
                <w:b/>
                <w:b/>
                <w:spacing w:val="60"/>
                <w:sz w:val="28"/>
                <w:szCs w:val="28"/>
              </w:rPr>
            </w:pPr>
            <w:r>
              <w:rPr>
                <w:rFonts w:cs="Arial" w:ascii="Arial" w:hAnsi="Arial"/>
                <w:b/>
                <w:spacing w:val="60"/>
                <w:sz w:val="14"/>
                <w:szCs w:val="14"/>
              </w:rPr>
              <w:t>РОССИЙСКОЙ</w:t>
            </w:r>
          </w:p>
          <w:p>
            <w:pPr>
              <w:pStyle w:val="Normal"/>
              <w:spacing w:lineRule="auto" w:line="240" w:before="0" w:after="0"/>
              <w:jc w:val="center"/>
              <w:rPr>
                <w:rFonts w:ascii="Arial" w:hAnsi="Arial" w:cs="Arial"/>
                <w:b/>
                <w:b/>
                <w:spacing w:val="60"/>
                <w:szCs w:val="28"/>
              </w:rPr>
            </w:pPr>
            <w:r>
              <w:rPr>
                <w:rFonts w:cs="Arial" w:ascii="Arial" w:hAnsi="Arial"/>
                <w:b/>
                <w:spacing w:val="60"/>
                <w:sz w:val="14"/>
                <w:szCs w:val="14"/>
              </w:rPr>
              <w:t>ФЕДЕРАЦИИ</w:t>
            </w:r>
          </w:p>
        </w:tc>
        <w:tc>
          <w:tcPr>
            <w:tcW w:w="3055" w:type="dxa"/>
            <w:tcBorders>
              <w:top w:val="single" w:sz="36" w:space="0" w:color="000000"/>
              <w:bottom w:val="single" w:sz="24" w:space="0" w:color="000000"/>
            </w:tcBorders>
            <w:shd w:fill="auto" w:val="clear"/>
            <w:vAlign w:val="center"/>
          </w:tcPr>
          <w:p>
            <w:pPr>
              <w:pStyle w:val="Normal"/>
              <w:spacing w:lineRule="auto" w:line="240" w:before="120" w:after="0"/>
              <w:ind w:left="110" w:hanging="0"/>
              <w:rPr>
                <w:rFonts w:ascii="Arial" w:hAnsi="Arial" w:cs="Arial"/>
                <w:b/>
                <w:b/>
                <w:sz w:val="36"/>
                <w:szCs w:val="28"/>
              </w:rPr>
            </w:pPr>
            <w:r>
              <w:rPr>
                <w:rFonts w:cs="Arial" w:ascii="Arial" w:hAnsi="Arial"/>
                <w:b/>
                <w:sz w:val="14"/>
                <w:szCs w:val="14"/>
              </w:rPr>
              <w:t>ГОСТ Р</w:t>
            </w:r>
          </w:p>
          <w:p>
            <w:pPr>
              <w:pStyle w:val="Normal"/>
              <w:spacing w:lineRule="auto" w:line="240" w:before="120" w:after="0"/>
              <w:ind w:left="110" w:hanging="0"/>
              <w:rPr>
                <w:rFonts w:ascii="Arial" w:hAnsi="Arial" w:cs="Arial"/>
                <w:b/>
                <w:b/>
                <w:sz w:val="36"/>
                <w:szCs w:val="28"/>
              </w:rPr>
            </w:pPr>
            <w:r>
              <w:rPr>
                <w:rFonts w:cs="Arial" w:ascii="Arial" w:hAnsi="Arial"/>
                <w:b/>
                <w:sz w:val="14"/>
                <w:szCs w:val="14"/>
              </w:rPr>
              <w:t>(ИСО/АСТМ 52928:2023)</w:t>
            </w:r>
            <w:bookmarkStart w:id="0" w:name="_GoBack"/>
            <w:bookmarkEnd w:id="0"/>
          </w:p>
          <w:p>
            <w:pPr>
              <w:pStyle w:val="Normal"/>
              <w:spacing w:lineRule="auto" w:line="240" w:before="0" w:after="0"/>
              <w:ind w:left="110" w:hanging="0"/>
              <w:jc w:val="center"/>
              <w:rPr>
                <w:rFonts w:ascii="Arial" w:hAnsi="Arial" w:cs="Arial"/>
                <w:b/>
                <w:b/>
                <w:sz w:val="36"/>
                <w:szCs w:val="28"/>
              </w:rPr>
            </w:pPr>
            <w:r>
              <w:rPr>
                <w:rFonts w:cs="Arial" w:ascii="Arial" w:hAnsi="Arial"/>
                <w:b/>
                <w:sz w:val="14"/>
                <w:szCs w:val="14"/>
              </w:rPr>
              <w:t>—</w:t>
            </w:r>
          </w:p>
          <w:p>
            <w:pPr>
              <w:pStyle w:val="Normal"/>
              <w:spacing w:lineRule="auto" w:line="240" w:before="0" w:after="0"/>
              <w:ind w:left="110" w:hanging="0"/>
              <w:rPr>
                <w:rFonts w:ascii="Arial" w:hAnsi="Arial" w:cs="Arial"/>
                <w:b/>
                <w:b/>
                <w:sz w:val="36"/>
                <w:szCs w:val="28"/>
              </w:rPr>
            </w:pPr>
            <w:r>
              <w:rPr>
                <w:rFonts w:cs="Arial" w:ascii="Arial" w:hAnsi="Arial"/>
                <w:b/>
                <w:sz w:val="14"/>
                <w:szCs w:val="14"/>
              </w:rPr>
              <w:t>2023</w:t>
            </w:r>
          </w:p>
          <w:p>
            <w:pPr>
              <w:pStyle w:val="Normal"/>
              <w:spacing w:lineRule="auto" w:line="240" w:before="0" w:after="0"/>
              <w:ind w:left="250" w:hanging="0"/>
              <w:jc w:val="both"/>
              <w:rPr>
                <w:rFonts w:ascii="Arial" w:hAnsi="Arial" w:cs="Arial"/>
                <w:sz w:val="14"/>
                <w:szCs w:val="14"/>
              </w:rPr>
            </w:pPr>
            <w:r>
              <w:rPr>
                <w:rFonts w:cs="Arial" w:ascii="Arial" w:hAnsi="Arial"/>
                <w:sz w:val="14"/>
                <w:szCs w:val="14"/>
              </w:rPr>
            </w:r>
          </w:p>
        </w:tc>
      </w:tr>
    </w:tbl>
    <w:p>
      <w:pPr>
        <w:pStyle w:val="Normal"/>
        <w:jc w:val="center"/>
        <w:rPr>
          <w:rFonts w:ascii="Arial" w:hAnsi="Arial" w:eastAsia="Times New Roman" w:cs="Arial"/>
          <w:b/>
          <w:b/>
          <w:sz w:val="14"/>
          <w:szCs w:val="14"/>
          <w:lang w:eastAsia="ru-RU"/>
        </w:rPr>
      </w:pPr>
      <w:r>
        <w:rPr>
          <w:rFonts w:eastAsia="Times New Roman" w:cs="Arial" w:ascii="Arial" w:hAnsi="Arial"/>
          <w:b/>
          <w:sz w:val="14"/>
          <w:szCs w:val="14"/>
          <w:lang w:eastAsia="ru-RU"/>
        </w:rPr>
      </w:r>
    </w:p>
    <w:p>
      <w:pPr>
        <w:pStyle w:val="Normal"/>
        <w:jc w:val="center"/>
        <w:rPr>
          <w:rFonts w:ascii="Arial" w:hAnsi="Arial" w:eastAsia="Times New Roman" w:cs="Arial"/>
          <w:b/>
          <w:b/>
          <w:sz w:val="14"/>
          <w:szCs w:val="14"/>
        </w:rPr>
      </w:pPr>
      <w:r>
        <w:rPr>
          <w:rFonts w:eastAsia="Times New Roman" w:cs="Arial" w:ascii="Arial" w:hAnsi="Arial"/>
          <w:b/>
          <w:sz w:val="14"/>
          <w:szCs w:val="14"/>
        </w:rPr>
      </w:r>
    </w:p>
    <w:p>
      <w:pPr>
        <w:pStyle w:val="Normal"/>
        <w:jc w:val="center"/>
        <w:rPr>
          <w:rFonts w:ascii="Arial" w:hAnsi="Arial" w:eastAsia="Times New Roman" w:cs="Arial"/>
          <w:b/>
          <w:b/>
          <w:sz w:val="14"/>
          <w:szCs w:val="14"/>
        </w:rPr>
      </w:pPr>
      <w:r>
        <w:rPr>
          <w:rFonts w:eastAsia="Times New Roman" w:cs="Arial" w:ascii="Arial" w:hAnsi="Arial"/>
          <w:b/>
          <w:sz w:val="14"/>
          <w:szCs w:val="14"/>
        </w:rPr>
      </w:r>
    </w:p>
    <w:p>
      <w:pPr>
        <w:pStyle w:val="Normal"/>
        <w:jc w:val="center"/>
        <w:rPr>
          <w:rFonts w:ascii="Arial" w:hAnsi="Arial" w:eastAsia="Times New Roman" w:cs="Arial"/>
          <w:b/>
          <w:b/>
          <w:sz w:val="36"/>
          <w:szCs w:val="36"/>
        </w:rPr>
      </w:pPr>
      <w:r>
        <w:rPr>
          <w:rFonts w:eastAsia="Times New Roman" w:cs="Arial" w:ascii="Arial" w:hAnsi="Arial"/>
          <w:b/>
          <w:sz w:val="14"/>
          <w:szCs w:val="14"/>
        </w:rPr>
        <w:t xml:space="preserve">Аддитивные технологии </w:t>
      </w:r>
    </w:p>
    <w:p>
      <w:pPr>
        <w:pStyle w:val="Normal"/>
        <w:jc w:val="center"/>
        <w:rPr>
          <w:rFonts w:ascii="Arial" w:hAnsi="Arial" w:eastAsia="Times New Roman" w:cs="Arial"/>
          <w:b/>
          <w:b/>
          <w:sz w:val="36"/>
          <w:szCs w:val="36"/>
        </w:rPr>
      </w:pPr>
      <w:r>
        <w:rPr>
          <w:rFonts w:eastAsia="Times New Roman" w:cs="Arial" w:ascii="Arial" w:hAnsi="Arial"/>
          <w:b/>
          <w:sz w:val="14"/>
          <w:szCs w:val="14"/>
        </w:rPr>
        <w:t>УПРАВЛЕНИЕ ЖИЗНЕННЫМ ЦИКЛОМ МЕТАЛЛОПОРОШКОВЫХ КОМПОЗИЦИЙ</w:t>
      </w:r>
    </w:p>
    <w:p>
      <w:pPr>
        <w:pStyle w:val="Style29"/>
        <w:jc w:val="center"/>
        <w:rPr>
          <w:rFonts w:ascii="Arial" w:hAnsi="Arial" w:eastAsia="Times New Roman" w:cs="Arial"/>
          <w:b/>
          <w:b/>
          <w:sz w:val="36"/>
          <w:szCs w:val="36"/>
        </w:rPr>
      </w:pPr>
      <w:r>
        <w:rPr>
          <w:rFonts w:eastAsia="Times New Roman" w:cs="Arial" w:ascii="Arial" w:hAnsi="Arial"/>
          <w:b/>
          <w:sz w:val="14"/>
          <w:szCs w:val="14"/>
        </w:rPr>
        <w:t>Общие требования</w:t>
      </w:r>
    </w:p>
    <w:p>
      <w:pPr>
        <w:pStyle w:val="Style29"/>
        <w:jc w:val="center"/>
        <w:rPr>
          <w:rFonts w:ascii="Arial" w:hAnsi="Arial" w:eastAsia="Times New Roman" w:cs="Arial"/>
          <w:b/>
          <w:b/>
          <w:sz w:val="14"/>
          <w:szCs w:val="14"/>
        </w:rPr>
      </w:pPr>
      <w:r>
        <w:rPr>
          <w:rFonts w:eastAsia="Times New Roman" w:cs="Arial" w:ascii="Arial" w:hAnsi="Arial"/>
          <w:b/>
          <w:sz w:val="14"/>
          <w:szCs w:val="14"/>
        </w:rPr>
      </w:r>
    </w:p>
    <w:p>
      <w:pPr>
        <w:pStyle w:val="Style29"/>
        <w:jc w:val="center"/>
        <w:rPr>
          <w:rFonts w:ascii="Arial" w:hAnsi="Arial" w:eastAsia="Times New Roman" w:cs="Arial"/>
          <w:b/>
          <w:b/>
          <w:sz w:val="28"/>
          <w:szCs w:val="28"/>
          <w:lang w:val="en-US"/>
        </w:rPr>
      </w:pPr>
      <w:r>
        <w:rPr>
          <w:rFonts w:eastAsia="Times New Roman" w:cs="Arial" w:ascii="Arial" w:hAnsi="Arial"/>
          <w:b/>
          <w:sz w:val="14"/>
          <w:szCs w:val="14"/>
          <w:lang w:val="en-US"/>
        </w:rPr>
        <w:t xml:space="preserve">(ISO/ASTM 52928, </w:t>
      </w:r>
    </w:p>
    <w:p>
      <w:pPr>
        <w:pStyle w:val="Style29"/>
        <w:jc w:val="center"/>
        <w:rPr>
          <w:rFonts w:ascii="Arial" w:hAnsi="Arial" w:eastAsia="Times New Roman" w:cs="Arial"/>
          <w:b/>
          <w:b/>
          <w:sz w:val="28"/>
          <w:szCs w:val="28"/>
          <w:lang w:val="en-US"/>
        </w:rPr>
      </w:pPr>
      <w:r>
        <w:rPr>
          <w:rFonts w:eastAsia="Times New Roman" w:cs="Arial" w:ascii="Arial" w:hAnsi="Arial"/>
          <w:b/>
          <w:sz w:val="14"/>
          <w:szCs w:val="14"/>
          <w:lang w:val="en-US"/>
        </w:rPr>
        <w:t>Additive manufacturing of metals — Feedstock materials — Powder life cycle management, MOD)</w:t>
      </w:r>
    </w:p>
    <w:p>
      <w:pPr>
        <w:pStyle w:val="Style29"/>
        <w:jc w:val="center"/>
        <w:rPr>
          <w:rFonts w:ascii="Arial" w:hAnsi="Arial" w:eastAsia="Times New Roman" w:cs="Arial"/>
          <w:b/>
          <w:b/>
          <w:sz w:val="14"/>
          <w:szCs w:val="14"/>
          <w:lang w:val="en-US"/>
        </w:rPr>
      </w:pPr>
      <w:r>
        <w:rPr>
          <w:rFonts w:eastAsia="Times New Roman" w:cs="Arial" w:ascii="Arial" w:hAnsi="Arial"/>
          <w:b/>
          <w:sz w:val="14"/>
          <w:szCs w:val="14"/>
          <w:lang w:val="en-US"/>
        </w:rPr>
      </w:r>
    </w:p>
    <w:p>
      <w:pPr>
        <w:pStyle w:val="Style29"/>
        <w:jc w:val="center"/>
        <w:rPr>
          <w:rFonts w:ascii="Arial" w:hAnsi="Arial" w:eastAsia="Times New Roman" w:cs="Arial"/>
          <w:b/>
          <w:b/>
          <w:sz w:val="14"/>
          <w:szCs w:val="14"/>
          <w:lang w:val="en-US"/>
        </w:rPr>
      </w:pPr>
      <w:r>
        <w:rPr>
          <w:rFonts w:eastAsia="Times New Roman" w:cs="Arial" w:ascii="Arial" w:hAnsi="Arial"/>
          <w:b/>
          <w:sz w:val="14"/>
          <w:szCs w:val="14"/>
          <w:lang w:val="en-US"/>
        </w:rPr>
      </w:r>
    </w:p>
    <w:p>
      <w:pPr>
        <w:pStyle w:val="Style29"/>
        <w:jc w:val="center"/>
        <w:rPr>
          <w:rFonts w:ascii="Arial" w:hAnsi="Arial" w:eastAsia="Times New Roman" w:cs="Arial"/>
          <w:b/>
          <w:b/>
          <w:sz w:val="14"/>
          <w:szCs w:val="14"/>
          <w:lang w:val="en-US"/>
        </w:rPr>
      </w:pPr>
      <w:r>
        <w:rPr>
          <w:rFonts w:eastAsia="Times New Roman" w:cs="Arial" w:ascii="Arial" w:hAnsi="Arial"/>
          <w:b/>
          <w:sz w:val="14"/>
          <w:szCs w:val="14"/>
          <w:lang w:val="en-US"/>
        </w:rPr>
      </w:r>
    </w:p>
    <w:p>
      <w:pPr>
        <w:pStyle w:val="Style29"/>
        <w:jc w:val="center"/>
        <w:rPr>
          <w:rFonts w:ascii="Arial" w:hAnsi="Arial" w:eastAsia="Times New Roman" w:cs="Arial"/>
          <w:b/>
          <w:b/>
          <w:sz w:val="14"/>
          <w:szCs w:val="14"/>
          <w:lang w:val="en-US"/>
        </w:rPr>
      </w:pPr>
      <w:r>
        <w:rPr>
          <w:rFonts w:eastAsia="Times New Roman" w:cs="Arial" w:ascii="Arial" w:hAnsi="Arial"/>
          <w:b/>
          <w:sz w:val="14"/>
          <w:szCs w:val="14"/>
          <w:lang w:val="en-US"/>
        </w:rPr>
      </w:r>
    </w:p>
    <w:p>
      <w:pPr>
        <w:pStyle w:val="Style29"/>
        <w:jc w:val="center"/>
        <w:rPr>
          <w:rFonts w:ascii="Arial" w:hAnsi="Arial" w:eastAsia="Times New Roman" w:cs="Arial"/>
          <w:b/>
          <w:b/>
          <w:sz w:val="14"/>
          <w:szCs w:val="14"/>
          <w:lang w:val="en-US"/>
        </w:rPr>
      </w:pPr>
      <w:r>
        <w:rPr>
          <w:rFonts w:eastAsia="Times New Roman" w:cs="Arial" w:ascii="Arial" w:hAnsi="Arial"/>
          <w:b/>
          <w:sz w:val="14"/>
          <w:szCs w:val="14"/>
          <w:lang w:val="en-US"/>
        </w:rPr>
      </w:r>
    </w:p>
    <w:p>
      <w:pPr>
        <w:pStyle w:val="Style29"/>
        <w:jc w:val="center"/>
        <w:rPr>
          <w:rFonts w:ascii="Arial" w:hAnsi="Arial" w:cs="Arial"/>
          <w:b/>
          <w:b/>
          <w:sz w:val="20"/>
        </w:rPr>
      </w:pPr>
      <w:r>
        <w:rPr>
          <w:rFonts w:cs="Arial" w:ascii="Arial" w:hAnsi="Arial"/>
          <w:b/>
          <w:sz w:val="14"/>
          <w:szCs w:val="14"/>
        </w:rPr>
        <w:t>Настоящий проект стандарта не подлежит применению до его утверждения</w:t>
      </w:r>
    </w:p>
    <w:p>
      <w:pPr>
        <w:pStyle w:val="Style29"/>
        <w:jc w:val="center"/>
        <w:rPr>
          <w:rFonts w:ascii="Arial" w:hAnsi="Arial" w:cs="Arial"/>
          <w:sz w:val="14"/>
          <w:szCs w:val="14"/>
        </w:rPr>
      </w:pPr>
      <w:r>
        <w:rPr>
          <w:rFonts w:cs="Arial" w:ascii="Arial" w:hAnsi="Arial"/>
          <w:sz w:val="14"/>
          <w:szCs w:val="14"/>
        </w:rPr>
      </w:r>
    </w:p>
    <w:p>
      <w:pPr>
        <w:pStyle w:val="Style29"/>
        <w:jc w:val="center"/>
        <w:rPr>
          <w:rFonts w:ascii="Arial" w:hAnsi="Arial" w:cs="Arial"/>
          <w:sz w:val="14"/>
          <w:szCs w:val="14"/>
        </w:rPr>
      </w:pPr>
      <w:r>
        <w:rPr>
          <w:rFonts w:cs="Arial" w:ascii="Arial" w:hAnsi="Arial"/>
          <w:sz w:val="14"/>
          <w:szCs w:val="14"/>
        </w:rPr>
      </w:r>
    </w:p>
    <w:p>
      <w:pPr>
        <w:pStyle w:val="Style29"/>
        <w:jc w:val="center"/>
        <w:rPr>
          <w:rFonts w:ascii="Arial" w:hAnsi="Arial" w:cs="Arial"/>
          <w:sz w:val="14"/>
          <w:szCs w:val="14"/>
        </w:rPr>
      </w:pPr>
      <w:r>
        <w:rPr>
          <w:rFonts w:cs="Arial" w:ascii="Arial" w:hAnsi="Arial"/>
          <w:sz w:val="14"/>
          <w:szCs w:val="14"/>
        </w:rPr>
      </w:r>
    </w:p>
    <w:p>
      <w:pPr>
        <w:pStyle w:val="Style29"/>
        <w:jc w:val="center"/>
        <w:rPr>
          <w:rFonts w:ascii="Arial" w:hAnsi="Arial" w:cs="Arial"/>
          <w:sz w:val="14"/>
          <w:szCs w:val="14"/>
        </w:rPr>
      </w:pPr>
      <w:r>
        <w:rPr>
          <w:rFonts w:cs="Arial" w:ascii="Arial" w:hAnsi="Arial"/>
          <w:sz w:val="14"/>
          <w:szCs w:val="14"/>
        </w:rPr>
      </w:r>
    </w:p>
    <w:p>
      <w:pPr>
        <w:pStyle w:val="Style29"/>
        <w:jc w:val="center"/>
        <w:rPr>
          <w:rFonts w:ascii="Arial" w:hAnsi="Arial" w:cs="Arial"/>
          <w:b/>
          <w:b/>
          <w:sz w:val="18"/>
          <w:lang w:val="en-US"/>
        </w:rPr>
      </w:pPr>
      <w:r>
        <w:rPr>
          <w:rFonts w:cs="Arial" w:ascii="Arial" w:hAnsi="Arial"/>
          <w:b/>
          <w:sz w:val="14"/>
          <w:szCs w:val="14"/>
        </w:rPr>
        <w:t>Москва</w:t>
      </w:r>
    </w:p>
    <w:p>
      <w:pPr>
        <w:pStyle w:val="Style29"/>
        <w:jc w:val="center"/>
        <w:rPr>
          <w:rFonts w:ascii="Arial" w:hAnsi="Arial" w:cs="Arial"/>
          <w:b/>
          <w:b/>
          <w:sz w:val="18"/>
          <w:lang w:val="en-US"/>
        </w:rPr>
      </w:pPr>
      <w:r>
        <w:rPr>
          <w:rFonts w:cs="Arial" w:ascii="Arial" w:hAnsi="Arial"/>
          <w:b/>
          <w:sz w:val="14"/>
          <w:szCs w:val="14"/>
        </w:rPr>
        <w:t>Российский институт стандартизации</w:t>
      </w:r>
    </w:p>
    <w:p>
      <w:pPr>
        <w:pStyle w:val="Style29"/>
        <w:jc w:val="center"/>
        <w:rPr>
          <w:rFonts w:ascii="Arial" w:hAnsi="Arial" w:cs="Arial"/>
          <w:b/>
          <w:b/>
          <w:sz w:val="18"/>
          <w:lang w:val="en-US"/>
        </w:rPr>
      </w:pPr>
      <w:r>
        <mc:AlternateContent>
          <mc:Choice Requires="wps">
            <w:drawing>
              <wp:anchor behindDoc="0" distT="0" distB="0" distL="0" distR="0" simplePos="0" locked="0" layoutInCell="1" allowOverlap="1" relativeHeight="2" wp14:anchorId="21C700BB">
                <wp:simplePos x="0" y="0"/>
                <wp:positionH relativeFrom="column">
                  <wp:posOffset>5831205</wp:posOffset>
                </wp:positionH>
                <wp:positionV relativeFrom="paragraph">
                  <wp:posOffset>123190</wp:posOffset>
                </wp:positionV>
                <wp:extent cx="319405" cy="415290"/>
                <wp:effectExtent l="0" t="0" r="24130" b="23495"/>
                <wp:wrapNone/>
                <wp:docPr id="2" name="Rectangle 7"/>
                <a:graphic xmlns:a="http://schemas.openxmlformats.org/drawingml/2006/main">
                  <a:graphicData uri="http://schemas.microsoft.com/office/word/2010/wordprocessingShape">
                    <wps:wsp>
                      <wps:cNvSpPr/>
                      <wps:spPr>
                        <a:xfrm>
                          <a:off x="0" y="0"/>
                          <a:ext cx="318600" cy="414720"/>
                        </a:xfrm>
                        <a:prstGeom prst="rect">
                          <a:avLst/>
                        </a:prstGeom>
                        <a:solidFill>
                          <a:schemeClr val="bg1">
                            <a:lumMod val="100000"/>
                            <a:lumOff val="0"/>
                          </a:schemeClr>
                        </a:solidFill>
                        <a:ln w="9360">
                          <a:solidFill>
                            <a:schemeClr val="bg1">
                              <a:lumMod val="100000"/>
                              <a:lumOff val="0"/>
                            </a:schemeClr>
                          </a:solidFill>
                          <a:miter/>
                        </a:ln>
                      </wps:spPr>
                      <wps:style>
                        <a:lnRef idx="0"/>
                        <a:fillRef idx="0"/>
                        <a:effectRef idx="0"/>
                        <a:fontRef idx="minor"/>
                      </wps:style>
                      <wps:bodyPr/>
                    </wps:wsp>
                  </a:graphicData>
                </a:graphic>
              </wp:anchor>
            </w:drawing>
          </mc:Choice>
          <mc:Fallback>
            <w:pict>
              <v:rect id="shape_0" ID="Rectangle 7" fillcolor="white" stroked="t" style="position:absolute;margin-left:459.15pt;margin-top:9.7pt;width:25.05pt;height:32.6pt" wp14:anchorId="21C700BB">
                <w10:wrap type="none"/>
                <v:fill o:detectmouseclick="t" type="solid" color2="black"/>
                <v:stroke color="white" weight="9360" joinstyle="miter" endcap="flat"/>
              </v:rect>
            </w:pict>
          </mc:Fallback>
        </mc:AlternateContent>
      </w:r>
      <w:r>
        <w:rPr>
          <w:rFonts w:cs="Arial" w:ascii="Arial" w:hAnsi="Arial"/>
          <w:b/>
          <w:sz w:val="14"/>
          <w:szCs w:val="14"/>
          <w:lang w:val="en-US"/>
        </w:rPr>
        <w:t>202</w:t>
      </w:r>
      <w:r>
        <w:rPr>
          <w:rFonts w:cs="Arial" w:ascii="Arial" w:hAnsi="Arial"/>
          <w:b/>
          <w:sz w:val="14"/>
          <w:szCs w:val="14"/>
        </w:rPr>
        <w:t>3</w:t>
      </w:r>
      <w:r>
        <w:rPr>
          <w:rFonts w:cs="Arial" w:ascii="Arial" w:hAnsi="Arial"/>
          <w:b/>
          <w:sz w:val="14"/>
          <w:szCs w:val="14"/>
          <w:lang w:val="en-US"/>
        </w:rPr>
        <w:t xml:space="preserve"> </w:t>
      </w:r>
    </w:p>
    <w:p>
      <w:pPr>
        <w:pStyle w:val="Style29"/>
        <w:rPr>
          <w:rFonts w:ascii="Arial" w:hAnsi="Arial" w:cs="Arial"/>
          <w:b/>
          <w:b/>
          <w:sz w:val="14"/>
          <w:szCs w:val="14"/>
          <w:lang w:val="en-US"/>
        </w:rPr>
      </w:pPr>
      <w:r>
        <w:rPr>
          <w:rFonts w:cs="Arial" w:ascii="Arial" w:hAnsi="Arial"/>
          <w:b/>
          <w:sz w:val="14"/>
          <w:szCs w:val="14"/>
          <w:lang w:val="en-US"/>
        </w:rPr>
      </w:r>
    </w:p>
    <w:p>
      <w:pPr>
        <w:sectPr>
          <w:headerReference w:type="default" r:id="rId3"/>
          <w:footerReference w:type="default" r:id="rId4"/>
          <w:type w:val="continuous"/>
          <w:pgSz w:w="11906" w:h="16838"/>
          <w:pgMar w:left="851" w:right="1418" w:header="709" w:top="1134" w:footer="709" w:bottom="1418" w:gutter="0"/>
          <w:formProt w:val="false"/>
          <w:textDirection w:val="lrTb"/>
          <w:docGrid w:type="default" w:linePitch="312" w:charSpace="4294965247"/>
        </w:sectPr>
      </w:pPr>
    </w:p>
    <w:p>
      <w:pPr>
        <w:pStyle w:val="Normal"/>
        <w:tabs>
          <w:tab w:val="clear" w:pos="709"/>
          <w:tab w:val="center" w:pos="4677" w:leader="none"/>
          <w:tab w:val="right" w:pos="9355" w:leader="none"/>
        </w:tabs>
        <w:jc w:val="center"/>
        <w:rPr>
          <w:rFonts w:ascii="Arial" w:hAnsi="Arial" w:eastAsia="Times New Roman" w:cs="Arial"/>
          <w:b/>
          <w:b/>
          <w:sz w:val="24"/>
          <w:szCs w:val="24"/>
          <w:lang w:val="en-US" w:eastAsia="ru-RU"/>
        </w:rPr>
      </w:pPr>
      <w:r>
        <w:rPr>
          <w:rFonts w:eastAsia="Times New Roman" w:cs="Arial" w:ascii="Arial" w:hAnsi="Arial"/>
          <w:b/>
          <w:sz w:val="14"/>
          <w:szCs w:val="14"/>
          <w:lang w:eastAsia="ru-RU"/>
        </w:rPr>
        <w:t>Предисловие</w:t>
      </w:r>
    </w:p>
    <w:p>
      <w:pPr>
        <w:pStyle w:val="Normal"/>
        <w:numPr>
          <w:ilvl w:val="0"/>
          <w:numId w:val="2"/>
        </w:numPr>
        <w:tabs>
          <w:tab w:val="clear" w:pos="709"/>
          <w:tab w:val="left" w:pos="993" w:leader="none"/>
        </w:tabs>
        <w:spacing w:lineRule="auto" w:line="360" w:before="0" w:after="0"/>
        <w:ind w:left="0" w:firstLine="709"/>
        <w:jc w:val="both"/>
        <w:rPr>
          <w:rFonts w:ascii="Arial" w:hAnsi="Arial" w:eastAsia="Times New Roman" w:cs="Arial"/>
          <w:szCs w:val="20"/>
          <w:lang w:eastAsia="ru-RU"/>
        </w:rPr>
      </w:pPr>
      <w:r>
        <w:rPr>
          <w:rFonts w:eastAsia="Times New Roman" w:cs="Arial" w:ascii="Arial" w:hAnsi="Arial"/>
          <w:sz w:val="14"/>
          <w:szCs w:val="14"/>
          <w:lang w:eastAsia="ru-RU"/>
        </w:rPr>
        <w:t xml:space="preserve">ПОДГОТОВЛЕН Ассоциацией развития аддитивных технологий </w:t>
      </w:r>
    </w:p>
    <w:p>
      <w:pPr>
        <w:pStyle w:val="Normal"/>
        <w:numPr>
          <w:ilvl w:val="0"/>
          <w:numId w:val="2"/>
        </w:numPr>
        <w:tabs>
          <w:tab w:val="clear" w:pos="709"/>
          <w:tab w:val="left" w:pos="993" w:leader="none"/>
        </w:tabs>
        <w:spacing w:lineRule="auto" w:line="360" w:before="0" w:after="0"/>
        <w:ind w:left="0" w:firstLine="709"/>
        <w:jc w:val="both"/>
        <w:rPr>
          <w:rFonts w:ascii="Arial" w:hAnsi="Arial" w:eastAsia="Times New Roman" w:cs="Arial"/>
          <w:szCs w:val="20"/>
          <w:lang w:eastAsia="ru-RU"/>
        </w:rPr>
      </w:pPr>
      <w:r>
        <w:rPr>
          <w:rFonts w:eastAsia="Times New Roman" w:cs="Arial" w:ascii="Arial" w:hAnsi="Arial"/>
          <w:sz w:val="14"/>
          <w:szCs w:val="14"/>
          <w:lang w:eastAsia="ru-RU"/>
        </w:rPr>
        <w:t>ВНЕСЕН Техническим комитетом по стандартизации ТК 182 «Аддитивные технологии»</w:t>
      </w:r>
    </w:p>
    <w:p>
      <w:pPr>
        <w:pStyle w:val="Normal"/>
        <w:numPr>
          <w:ilvl w:val="0"/>
          <w:numId w:val="2"/>
        </w:numPr>
        <w:tabs>
          <w:tab w:val="clear" w:pos="709"/>
          <w:tab w:val="left" w:pos="993" w:leader="none"/>
        </w:tabs>
        <w:spacing w:lineRule="auto" w:line="360" w:before="0" w:after="0"/>
        <w:ind w:left="0" w:firstLine="709"/>
        <w:jc w:val="both"/>
        <w:rPr>
          <w:rFonts w:ascii="Arial" w:hAnsi="Arial" w:eastAsia="Times New Roman" w:cs="Arial"/>
          <w:szCs w:val="20"/>
          <w:lang w:eastAsia="ru-RU"/>
        </w:rPr>
      </w:pPr>
      <w:r>
        <w:rPr>
          <w:rFonts w:eastAsia="Times New Roman" w:cs="Arial" w:ascii="Arial" w:hAnsi="Arial"/>
          <w:sz w:val="14"/>
          <w:szCs w:val="14"/>
          <w:lang w:eastAsia="ru-RU"/>
        </w:rPr>
        <w:t>УТВЕРЖДЕН И ВВЕДЕН В ДЕЙСТВИЕ Приказом Федерального агентства по техническому регулированию и метрологии от ____________ 202__ г. № ________</w:t>
      </w:r>
    </w:p>
    <w:p>
      <w:pPr>
        <w:pStyle w:val="Normal"/>
        <w:numPr>
          <w:ilvl w:val="0"/>
          <w:numId w:val="2"/>
        </w:numPr>
        <w:tabs>
          <w:tab w:val="clear" w:pos="709"/>
          <w:tab w:val="left" w:pos="993" w:leader="none"/>
        </w:tabs>
        <w:spacing w:lineRule="auto" w:line="360" w:before="0" w:after="0"/>
        <w:ind w:left="0" w:firstLine="709"/>
        <w:jc w:val="both"/>
        <w:rPr>
          <w:rFonts w:ascii="Arial" w:hAnsi="Arial" w:eastAsia="Calibri" w:cs="Arial"/>
          <w:szCs w:val="28"/>
        </w:rPr>
      </w:pPr>
      <w:r>
        <w:rPr>
          <w:rFonts w:eastAsia="Calibri" w:cs="Arial" w:ascii="Arial" w:hAnsi="Arial"/>
          <w:sz w:val="14"/>
          <w:szCs w:val="14"/>
        </w:rPr>
        <w:t xml:space="preserve"> </w:t>
      </w:r>
      <w:r>
        <w:rPr>
          <w:rFonts w:eastAsia="Calibri" w:cs="Arial" w:ascii="Arial" w:hAnsi="Arial"/>
          <w:sz w:val="14"/>
          <w:szCs w:val="14"/>
        </w:rPr>
        <w:t>Настоящий стандарт является модифицированным по отношению к международному стандарту ISO/ASTM DIS 52928 «Additive manufacturing of metals – Feedstock materials – Powder life cycle management» (Аддитивное производство металлических изделий. Сырье. Управление жизненным циклом порошка) путем внесения дополнительных положений, выделенных в тексте курсивом, направленных на учет сложившейся отечественной практики в области аддитивных технологий. В стандарт не были включены отдельные разделы, которые являются справочными и/или не содержат информацию, необходимую для включения в национальный стандарт. Оригинальный текст элементов, не включенных в основную часть настоящего стандарта, приведен в дополнительном приложении ДА.</w:t>
      </w:r>
    </w:p>
    <w:p>
      <w:pPr>
        <w:pStyle w:val="Normal"/>
        <w:tabs>
          <w:tab w:val="clear" w:pos="709"/>
          <w:tab w:val="left" w:pos="993" w:leader="none"/>
        </w:tabs>
        <w:spacing w:lineRule="auto" w:line="360" w:before="0" w:after="0"/>
        <w:ind w:firstLine="709"/>
        <w:jc w:val="both"/>
        <w:rPr>
          <w:rFonts w:ascii="Arial" w:hAnsi="Arial" w:eastAsia="Calibri" w:cs="Arial"/>
          <w:szCs w:val="28"/>
        </w:rPr>
      </w:pPr>
      <w:r>
        <w:rPr>
          <w:rFonts w:eastAsia="Calibri" w:cs="Arial" w:ascii="Arial" w:hAnsi="Arial"/>
          <w:sz w:val="14"/>
          <w:szCs w:val="14"/>
        </w:rPr>
        <w:t xml:space="preserve">Отдельные разделы международного стандарта были изменены для учета особенностей отечественной практики и обеспечения взаимосвязи с действующими документами по стандартизации. Оригинальный текст измененных элементов международного стандарта приведен в дополнительном приложении ДБ </w:t>
      </w:r>
    </w:p>
    <w:p>
      <w:pPr>
        <w:pStyle w:val="Normal"/>
        <w:tabs>
          <w:tab w:val="clear" w:pos="709"/>
          <w:tab w:val="left" w:pos="993" w:leader="none"/>
        </w:tabs>
        <w:spacing w:lineRule="auto" w:line="360" w:before="0" w:after="0"/>
        <w:ind w:firstLine="709"/>
        <w:jc w:val="both"/>
        <w:rPr>
          <w:rFonts w:ascii="Arial" w:hAnsi="Arial" w:eastAsia="Calibri" w:cs="Arial"/>
          <w:szCs w:val="28"/>
        </w:rPr>
      </w:pPr>
      <w:r>
        <w:rPr>
          <w:rFonts w:eastAsia="Calibri" w:cs="Arial" w:ascii="Arial" w:hAnsi="Arial"/>
          <w:sz w:val="14"/>
          <w:szCs w:val="14"/>
        </w:rPr>
        <w:t xml:space="preserve">Наименование настоящего стандарта изменено относительно наименования указанного стандарта для приведения в соответствие с ГОСТ Р 1.5—2012 (пункт 3.5) и для увязки с наименованиями, принятыми в существующем комплексе национальных стандартов. </w:t>
      </w:r>
    </w:p>
    <w:p>
      <w:pPr>
        <w:pStyle w:val="Normal"/>
        <w:tabs>
          <w:tab w:val="clear" w:pos="709"/>
          <w:tab w:val="left" w:pos="993" w:leader="none"/>
        </w:tabs>
        <w:spacing w:lineRule="auto" w:line="360" w:before="0" w:after="0"/>
        <w:ind w:firstLine="709"/>
        <w:jc w:val="both"/>
        <w:rPr>
          <w:rFonts w:ascii="Arial" w:hAnsi="Arial" w:cs="Arial"/>
          <w:szCs w:val="20"/>
          <w:lang w:eastAsia="ru-RU"/>
        </w:rPr>
      </w:pPr>
      <w:r>
        <w:rPr>
          <w:rFonts w:cs="Arial" w:ascii="Arial" w:hAnsi="Arial"/>
          <w:sz w:val="14"/>
          <w:szCs w:val="14"/>
          <w:lang w:eastAsia="ru-RU"/>
        </w:rPr>
        <w:t xml:space="preserve">В настоящем стандарте ссылка на международный стандарт ISO/ASTM 52900:2015 заменена на идентичный ему стандарт ГОСТ Р 57558 Аддитивные технологические процессы. Базовые принципы. Часть 1. Термины и определения, а ссылки на международный стандарт </w:t>
      </w:r>
      <w:r>
        <w:rPr>
          <w:rFonts w:cs="Arial" w:ascii="Arial" w:hAnsi="Arial"/>
          <w:sz w:val="14"/>
          <w:szCs w:val="14"/>
          <w:lang w:val="en-US"/>
        </w:rPr>
        <w:t>ISO</w:t>
      </w:r>
      <w:r>
        <w:rPr>
          <w:rFonts w:cs="Arial" w:ascii="Arial" w:hAnsi="Arial"/>
          <w:sz w:val="14"/>
          <w:szCs w:val="14"/>
        </w:rPr>
        <w:t xml:space="preserve"> 3954 и стандарт ASTM B 215 </w:t>
      </w:r>
      <w:r>
        <w:rPr>
          <w:rFonts w:cs="Arial" w:ascii="Arial" w:hAnsi="Arial"/>
          <w:sz w:val="14"/>
          <w:szCs w:val="14"/>
          <w:lang w:eastAsia="ru-RU"/>
        </w:rPr>
        <w:t xml:space="preserve">заменена на </w:t>
      </w:r>
      <w:r>
        <w:rPr>
          <w:rFonts w:cs="Arial" w:ascii="Arial" w:hAnsi="Arial"/>
          <w:sz w:val="14"/>
          <w:szCs w:val="14"/>
        </w:rPr>
        <w:t>ГОСТ 23148 (ИСО 3954-77)</w:t>
      </w:r>
      <w:r>
        <w:rPr>
          <w:rFonts w:cs="Arial" w:ascii="Arial" w:hAnsi="Arial"/>
          <w:sz w:val="14"/>
          <w:szCs w:val="14"/>
          <w:lang w:eastAsia="ru-RU"/>
        </w:rPr>
        <w:t xml:space="preserve"> Порошки, применяемые в порошковой металлургии. Отбор проб. </w:t>
      </w:r>
    </w:p>
    <w:p>
      <w:pPr>
        <w:pStyle w:val="Normal"/>
        <w:tabs>
          <w:tab w:val="clear" w:pos="709"/>
          <w:tab w:val="left" w:pos="993" w:leader="none"/>
        </w:tabs>
        <w:spacing w:lineRule="auto" w:line="360" w:before="0" w:after="0"/>
        <w:ind w:firstLine="709"/>
        <w:jc w:val="both"/>
        <w:rPr>
          <w:rFonts w:ascii="Arial" w:hAnsi="Arial" w:cs="Arial"/>
          <w:sz w:val="14"/>
          <w:szCs w:val="14"/>
          <w:lang w:eastAsia="ru-RU"/>
        </w:rPr>
      </w:pPr>
      <w:r>
        <w:rPr>
          <w:rFonts w:cs="Arial" w:ascii="Arial" w:hAnsi="Arial"/>
          <w:sz w:val="14"/>
          <w:szCs w:val="14"/>
          <w:lang w:eastAsia="ru-RU"/>
        </w:rPr>
      </w:r>
    </w:p>
    <w:p>
      <w:pPr>
        <w:pStyle w:val="Normal"/>
        <w:tabs>
          <w:tab w:val="clear" w:pos="709"/>
          <w:tab w:val="left" w:pos="993" w:leader="none"/>
        </w:tabs>
        <w:spacing w:lineRule="auto" w:line="360" w:before="0" w:after="0"/>
        <w:ind w:left="709" w:hanging="0"/>
        <w:jc w:val="both"/>
        <w:rPr>
          <w:rFonts w:ascii="Arial" w:hAnsi="Arial" w:eastAsia="Calibri" w:cs="Arial"/>
          <w:szCs w:val="28"/>
        </w:rPr>
      </w:pPr>
      <w:r>
        <w:rPr>
          <w:rFonts w:cs="Arial" w:ascii="Arial" w:hAnsi="Arial"/>
          <w:sz w:val="14"/>
          <w:szCs w:val="14"/>
          <w:lang w:eastAsia="ru-RU"/>
        </w:rPr>
        <w:t xml:space="preserve">5 </w:t>
      </w:r>
      <w:r>
        <w:rPr>
          <w:rFonts w:eastAsia="Calibri" w:cs="Arial" w:ascii="Arial" w:hAnsi="Arial"/>
          <w:sz w:val="14"/>
          <w:szCs w:val="14"/>
        </w:rPr>
        <w:t>ВВЕДЕН ВПЕРВЫЕ</w:t>
      </w:r>
    </w:p>
    <w:p>
      <w:pPr>
        <w:pStyle w:val="Normal"/>
        <w:tabs>
          <w:tab w:val="clear" w:pos="709"/>
          <w:tab w:val="left" w:pos="993" w:leader="none"/>
        </w:tabs>
        <w:spacing w:lineRule="auto" w:line="360" w:before="0" w:after="0"/>
        <w:ind w:left="709" w:hanging="0"/>
        <w:jc w:val="both"/>
        <w:rPr>
          <w:rFonts w:ascii="Arial" w:hAnsi="Arial" w:eastAsia="Calibri" w:cs="Arial"/>
          <w:sz w:val="14"/>
          <w:szCs w:val="14"/>
        </w:rPr>
      </w:pPr>
      <w:r>
        <w:rPr>
          <w:rFonts w:eastAsia="Calibri" w:cs="Arial" w:ascii="Arial" w:hAnsi="Arial"/>
          <w:sz w:val="14"/>
          <w:szCs w:val="14"/>
        </w:rPr>
      </w:r>
    </w:p>
    <w:p>
      <w:pPr>
        <w:pStyle w:val="Normal"/>
        <w:spacing w:before="0" w:after="240"/>
        <w:ind w:firstLine="709"/>
        <w:jc w:val="both"/>
        <w:rPr>
          <w:rFonts w:ascii="Arial" w:hAnsi="Arial" w:eastAsia="Calibri" w:cs="Arial"/>
          <w:i/>
          <w:i/>
          <w:sz w:val="14"/>
          <w:szCs w:val="14"/>
        </w:rPr>
      </w:pPr>
      <w:r>
        <w:rPr>
          <w:rFonts w:eastAsia="Calibri" w:cs="Arial" w:ascii="Arial" w:hAnsi="Arial"/>
          <w:i/>
          <w:sz w:val="14"/>
          <w:szCs w:val="14"/>
        </w:rPr>
      </w:r>
    </w:p>
    <w:p>
      <w:pPr>
        <w:pStyle w:val="Normal"/>
        <w:spacing w:before="0" w:after="240"/>
        <w:ind w:firstLine="709"/>
        <w:jc w:val="both"/>
        <w:rPr>
          <w:rFonts w:ascii="Arial" w:hAnsi="Arial" w:eastAsia="Calibri" w:cs="Arial"/>
          <w:i/>
          <w:i/>
        </w:rPr>
      </w:pPr>
      <w:r>
        <w:rPr>
          <w:rFonts w:eastAsia="Calibri" w:cs="Arial" w:ascii="Arial" w:hAnsi="Arial"/>
          <w:i/>
          <w:sz w:val="14"/>
          <w:szCs w:val="1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p>
    <w:p>
      <w:pPr>
        <w:pStyle w:val="Normal"/>
        <w:spacing w:before="0" w:after="240"/>
        <w:jc w:val="center"/>
        <w:rPr>
          <w:rFonts w:ascii="Arial" w:hAnsi="Arial" w:eastAsia="Calibri" w:cs="Arial"/>
          <w:i/>
          <w:i/>
          <w:sz w:val="14"/>
          <w:szCs w:val="14"/>
        </w:rPr>
      </w:pPr>
      <w:r>
        <w:rPr>
          <w:rFonts w:eastAsia="Calibri" w:cs="Arial" w:ascii="Arial" w:hAnsi="Arial"/>
          <w:i/>
          <w:sz w:val="14"/>
          <w:szCs w:val="14"/>
        </w:rPr>
      </w:r>
    </w:p>
    <w:p>
      <w:pPr>
        <w:pStyle w:val="Normal"/>
        <w:spacing w:before="0" w:after="240"/>
        <w:jc w:val="center"/>
        <w:rPr>
          <w:rFonts w:ascii="Arial" w:hAnsi="Arial" w:eastAsia="Calibri" w:cs="Arial"/>
          <w:i/>
          <w:i/>
          <w:sz w:val="14"/>
          <w:szCs w:val="14"/>
        </w:rPr>
      </w:pPr>
      <w:r>
        <w:rPr>
          <w:rFonts w:eastAsia="Calibri" w:cs="Arial" w:ascii="Arial" w:hAnsi="Arial"/>
          <w:i/>
          <w:sz w:val="14"/>
          <w:szCs w:val="14"/>
        </w:rPr>
      </w:r>
    </w:p>
    <w:p>
      <w:pPr>
        <w:pStyle w:val="Normal"/>
        <w:spacing w:before="0" w:after="240"/>
        <w:jc w:val="center"/>
        <w:rPr>
          <w:rFonts w:ascii="Arial" w:hAnsi="Arial" w:eastAsia="Calibri" w:cs="Arial"/>
          <w:i/>
          <w:i/>
          <w:sz w:val="14"/>
          <w:szCs w:val="14"/>
        </w:rPr>
      </w:pPr>
      <w:r>
        <w:rPr>
          <w:rFonts w:eastAsia="Calibri" w:cs="Arial" w:ascii="Arial" w:hAnsi="Arial"/>
          <w:i/>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center"/>
        <w:rPr>
          <w:rFonts w:ascii="Arial" w:hAnsi="Arial" w:eastAsia="Calibri" w:cs="Arial"/>
          <w:sz w:val="14"/>
          <w:szCs w:val="14"/>
        </w:rPr>
      </w:pPr>
      <w:r>
        <w:rPr>
          <w:rFonts w:eastAsia="Calibri" w:cs="Arial" w:ascii="Arial" w:hAnsi="Arial"/>
          <w:sz w:val="14"/>
          <w:szCs w:val="14"/>
        </w:rPr>
      </w:r>
    </w:p>
    <w:p>
      <w:pPr>
        <w:pStyle w:val="Normal"/>
        <w:spacing w:before="0" w:after="240"/>
        <w:jc w:val="right"/>
        <w:rPr>
          <w:rFonts w:ascii="Arial" w:hAnsi="Arial" w:eastAsia="Calibri" w:cs="Arial"/>
          <w:szCs w:val="28"/>
        </w:rPr>
      </w:pPr>
      <w:r>
        <w:rPr>
          <w:rFonts w:eastAsia="Symbol" w:cs="Symbol" w:ascii="Symbol" w:hAnsi="Symbol"/>
          <w:sz w:val="14"/>
          <w:szCs w:val="14"/>
        </w:rPr>
        <w:t></w:t>
      </w:r>
      <w:r>
        <w:rPr>
          <w:rFonts w:eastAsia="Calibri" w:cs="Arial" w:ascii="Arial" w:hAnsi="Arial"/>
          <w:sz w:val="14"/>
          <w:szCs w:val="14"/>
        </w:rPr>
        <w:t> </w:t>
      </w:r>
      <w:r>
        <w:rPr>
          <w:rFonts w:eastAsia="Calibri" w:cs="Arial" w:ascii="Arial" w:hAnsi="Arial"/>
          <w:sz w:val="14"/>
          <w:szCs w:val="14"/>
        </w:rPr>
        <w:t>Оформление. ФГБУ «Институт стандартизации», 202</w:t>
      </w:r>
    </w:p>
    <w:p>
      <w:pPr>
        <w:pStyle w:val="Normal"/>
        <w:spacing w:before="0" w:after="240"/>
        <w:ind w:firstLine="709"/>
        <w:jc w:val="both"/>
        <w:rPr>
          <w:rFonts w:ascii="Arial" w:hAnsi="Arial" w:eastAsia="Calibri" w:cs="Arial"/>
          <w:iCs/>
          <w:szCs w:val="28"/>
        </w:rPr>
      </w:pPr>
      <w:r>
        <w:rPr>
          <w:rFonts w:eastAsia="Calibri" w:cs="Arial" w:ascii="Arial" w:hAnsi="Arial"/>
          <w:sz w:val="14"/>
          <w:szCs w:val="14"/>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Pr>
          <w:rFonts w:eastAsia="Calibri" w:cs="Arial" w:ascii="Arial" w:hAnsi="Arial"/>
          <w:iCs/>
          <w:sz w:val="14"/>
          <w:szCs w:val="14"/>
        </w:rPr>
        <w:t>Федерального агентства по техническому регулированию и метрологии</w:t>
      </w:r>
    </w:p>
    <w:p>
      <w:pPr>
        <w:pStyle w:val="Normal"/>
        <w:spacing w:before="0" w:after="240"/>
        <w:ind w:firstLine="709"/>
        <w:jc w:val="center"/>
        <w:rPr>
          <w:rFonts w:ascii="Arial" w:hAnsi="Arial" w:eastAsia="Arial" w:cs="Arial" w:eastAsiaTheme="minorEastAsia"/>
          <w:b/>
          <w:b/>
          <w:sz w:val="14"/>
          <w:szCs w:val="14"/>
          <w:lang w:eastAsia="ru-RU"/>
        </w:rPr>
      </w:pPr>
      <w:r>
        <w:rPr>
          <w:rFonts w:eastAsia="Arial" w:cs="Arial" w:eastAsiaTheme="minorEastAsia" w:ascii="Arial" w:hAnsi="Arial"/>
          <w:b/>
          <w:sz w:val="14"/>
          <w:szCs w:val="14"/>
          <w:lang w:eastAsia="ru-RU"/>
        </w:rPr>
        <mc:AlternateContent>
          <mc:Choice Requires="wps">
            <w:drawing>
              <wp:anchor behindDoc="0" distT="0" distB="0" distL="0" distR="0" simplePos="0" locked="0" layoutInCell="1" allowOverlap="1" relativeHeight="3" wp14:anchorId="752F5C38">
                <wp:simplePos x="0" y="0"/>
                <wp:positionH relativeFrom="column">
                  <wp:posOffset>5766435</wp:posOffset>
                </wp:positionH>
                <wp:positionV relativeFrom="paragraph">
                  <wp:posOffset>296545</wp:posOffset>
                </wp:positionV>
                <wp:extent cx="276860" cy="255270"/>
                <wp:effectExtent l="0" t="0" r="9525" b="0"/>
                <wp:wrapNone/>
                <wp:docPr id="3" name="Надпись 2"/>
                <a:graphic xmlns:a="http://schemas.openxmlformats.org/drawingml/2006/main">
                  <a:graphicData uri="http://schemas.microsoft.com/office/word/2010/wordprocessingShape">
                    <wps:wsp>
                      <wps:cNvSpPr/>
                      <wps:spPr>
                        <a:xfrm>
                          <a:off x="0" y="0"/>
                          <a:ext cx="276120" cy="254520"/>
                        </a:xfrm>
                        <a:prstGeom prst="rect">
                          <a:avLst/>
                        </a:prstGeom>
                        <a:solidFill>
                          <a:srgbClr val="ffffff"/>
                        </a:solidFill>
                        <a:ln w="9360">
                          <a:noFill/>
                        </a:ln>
                      </wps:spPr>
                      <wps:style>
                        <a:lnRef idx="0"/>
                        <a:fillRef idx="0"/>
                        <a:effectRef idx="0"/>
                        <a:fontRef idx="minor"/>
                      </wps:style>
                      <wps:txbx>
                        <w:txbxContent>
                          <w:p>
                            <w:pPr>
                              <w:pStyle w:val="Style31"/>
                              <w:spacing w:before="0" w:after="200"/>
                              <w:rPr/>
                            </w:pPr>
                            <w:r>
                              <w:rPr/>
                            </w:r>
                          </w:p>
                        </w:txbxContent>
                      </wps:txbx>
                      <wps:bodyPr>
                        <a:noAutofit/>
                      </wps:bodyPr>
                    </wps:wsp>
                  </a:graphicData>
                </a:graphic>
              </wp:anchor>
            </w:drawing>
          </mc:Choice>
          <mc:Fallback>
            <w:pict>
              <v:rect id="shape_0" ID="Надпись 2" fillcolor="white" stroked="f" style="position:absolute;margin-left:454.05pt;margin-top:23.35pt;width:21.7pt;height:20pt" wp14:anchorId="752F5C38">
                <w10:wrap type="none"/>
                <v:fill o:detectmouseclick="t" type="solid" color2="black"/>
                <v:stroke color="#3465a4" weight="9360" joinstyle="miter" endcap="flat"/>
                <v:textbox>
                  <w:txbxContent>
                    <w:p>
                      <w:pPr>
                        <w:pStyle w:val="Style31"/>
                        <w:spacing w:before="0" w:after="200"/>
                        <w:rPr/>
                      </w:pPr>
                      <w:r>
                        <w:rPr/>
                      </w:r>
                    </w:p>
                  </w:txbxContent>
                </v:textbox>
              </v:rect>
            </w:pict>
          </mc:Fallback>
        </mc:AlternateContent>
      </w:r>
      <w:r>
        <w:br w:type="page"/>
      </w:r>
    </w:p>
    <w:p>
      <w:pPr>
        <w:pStyle w:val="Normal"/>
        <w:spacing w:before="0" w:after="240"/>
        <w:ind w:firstLine="709"/>
        <w:jc w:val="center"/>
        <w:rPr>
          <w:rFonts w:ascii="Arial" w:hAnsi="Arial" w:eastAsia="Arial" w:cs="Arial" w:eastAsiaTheme="minorEastAsia"/>
          <w:b/>
          <w:b/>
          <w:sz w:val="28"/>
          <w:szCs w:val="28"/>
          <w:lang w:eastAsia="ru-RU"/>
        </w:rPr>
      </w:pPr>
      <w:r>
        <w:rPr>
          <w:rFonts w:eastAsia="Arial" w:cs="Arial" w:ascii="Arial" w:hAnsi="Arial" w:eastAsiaTheme="minorEastAsia"/>
          <w:b/>
          <w:sz w:val="14"/>
          <w:szCs w:val="14"/>
          <w:lang w:eastAsia="ru-RU"/>
        </w:rPr>
        <w:t>Содержание</w:t>
      </w:r>
    </w:p>
    <w:p>
      <w:pPr>
        <w:pStyle w:val="Normal"/>
        <w:spacing w:lineRule="auto" w:line="360" w:before="0" w:after="0"/>
        <w:ind w:firstLine="708"/>
        <w:jc w:val="center"/>
        <w:rPr>
          <w:rFonts w:ascii="Arial" w:hAnsi="Arial" w:eastAsia="Calibri" w:cs="Arial"/>
          <w:sz w:val="14"/>
          <w:szCs w:val="14"/>
        </w:rPr>
      </w:pPr>
      <w:r>
        <w:rPr>
          <w:rFonts w:eastAsia="Calibri" w:cs="Arial" w:ascii="Arial" w:hAnsi="Arial"/>
          <w:sz w:val="14"/>
          <w:szCs w:val="14"/>
        </w:rPr>
      </w:r>
    </w:p>
    <w:tbl>
      <w:tblPr>
        <w:tblW w:w="9571" w:type="dxa"/>
        <w:jc w:val="left"/>
        <w:tblInd w:w="0" w:type="dxa"/>
        <w:tblCellMar>
          <w:top w:w="0" w:type="dxa"/>
          <w:left w:w="108" w:type="dxa"/>
          <w:bottom w:w="0" w:type="dxa"/>
          <w:right w:w="108" w:type="dxa"/>
        </w:tblCellMar>
        <w:tblLook w:val="04a0" w:noVBand="1" w:noHBand="0" w:lastColumn="0" w:firstColumn="1" w:lastRow="0" w:firstRow="1"/>
      </w:tblPr>
      <w:tblGrid>
        <w:gridCol w:w="543"/>
        <w:gridCol w:w="8187"/>
        <w:gridCol w:w="1"/>
        <w:gridCol w:w="840"/>
      </w:tblGrid>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1</w:t>
            </w:r>
          </w:p>
        </w:tc>
        <w:tc>
          <w:tcPr>
            <w:tcW w:w="8187" w:type="dxa"/>
            <w:tcBorders/>
            <w:shd w:fill="auto" w:val="clear"/>
          </w:tcPr>
          <w:p>
            <w:pPr>
              <w:pStyle w:val="Normal"/>
              <w:tabs>
                <w:tab w:val="clear" w:pos="709"/>
                <w:tab w:val="left" w:pos="79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Область применения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2</w:t>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Нормативные ссылки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lang w:val="en-US"/>
              </w:rPr>
            </w:pPr>
            <w:r>
              <w:rPr>
                <w:rFonts w:eastAsia="Calibri" w:cs="Arial" w:ascii="Arial" w:hAnsi="Arial"/>
                <w:sz w:val="14"/>
                <w:szCs w:val="14"/>
                <w:lang w:val="en-US"/>
              </w:rPr>
              <w:t>3</w:t>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Термины и определения</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4</w:t>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Характеристики МПК</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w:t>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Жизненный цикл МПК</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5.1 Требования к партии</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5.2 Прослеживаемость</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5.3 Обращение с МПК</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5.4 Переработка/повторное использование сырья</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5.5 Вывод из оборота/утилизация</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6</w:t>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Обеспечение соответствия МПК установленным требованиям</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6.1 Требования к документации</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6.2 Отбор проб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6.3 Методы испытаний МПК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6.4 Мониторинг и контроль условий окружающей среды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6.5 Периодичность контроля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c>
          <w:tcPr>
            <w:tcW w:w="543"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c>
          <w:tcPr>
            <w:tcW w:w="8187"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24"/>
                <w:szCs w:val="24"/>
              </w:rPr>
            </w:pPr>
            <w:r>
              <w:rPr>
                <w:rFonts w:eastAsia="Calibri" w:cs="Arial" w:ascii="Arial" w:hAnsi="Arial"/>
                <w:sz w:val="14"/>
                <w:szCs w:val="14"/>
              </w:rPr>
              <w:t xml:space="preserve">6.6 Акт приемочного контроля </w:t>
            </w:r>
            <w:r>
              <w:rPr>
                <w:rFonts w:cs="Arial" w:ascii="Arial" w:hAnsi="Arial"/>
                <w:bCs/>
                <w:sz w:val="14"/>
                <w:szCs w:val="14"/>
              </w:rPr>
              <w:tab/>
            </w:r>
          </w:p>
        </w:tc>
        <w:tc>
          <w:tcPr>
            <w:tcW w:w="841" w:type="dxa"/>
            <w:gridSpan w:val="2"/>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rHeight w:val="182" w:hRule="atLeast"/>
        </w:trPr>
        <w:tc>
          <w:tcPr>
            <w:tcW w:w="8731" w:type="dxa"/>
            <w:gridSpan w:val="3"/>
            <w:tcBorders/>
            <w:shd w:fill="auto" w:val="clear"/>
          </w:tcPr>
          <w:p>
            <w:pPr>
              <w:pStyle w:val="Normal"/>
              <w:tabs>
                <w:tab w:val="clear" w:pos="709"/>
                <w:tab w:val="left" w:pos="440" w:leader="none"/>
                <w:tab w:val="right" w:pos="9061" w:leader="dot"/>
              </w:tabs>
              <w:spacing w:lineRule="auto" w:line="360" w:before="0" w:after="0"/>
              <w:jc w:val="both"/>
              <w:rPr>
                <w:rFonts w:ascii="Arial" w:hAnsi="Arial" w:eastAsia="Calibri" w:cs="Arial"/>
                <w:sz w:val="24"/>
                <w:szCs w:val="24"/>
              </w:rPr>
            </w:pPr>
            <w:r>
              <w:rPr>
                <w:rFonts w:eastAsia="Calibri" w:cs="Arial" w:ascii="Arial" w:hAnsi="Arial"/>
                <w:sz w:val="14"/>
                <w:szCs w:val="14"/>
              </w:rPr>
              <w:t>Приложение ДА (справочное) Оригинальный текст не включенных структурных элементов</w:t>
            </w:r>
            <w:r>
              <w:rPr>
                <w:rFonts w:cs="Arial" w:ascii="Arial" w:hAnsi="Arial"/>
                <w:bCs/>
                <w:sz w:val="14"/>
                <w:szCs w:val="14"/>
              </w:rPr>
              <w:tab/>
            </w:r>
          </w:p>
        </w:tc>
        <w:tc>
          <w:tcPr>
            <w:tcW w:w="840"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rHeight w:val="182" w:hRule="atLeast"/>
        </w:trPr>
        <w:tc>
          <w:tcPr>
            <w:tcW w:w="8731" w:type="dxa"/>
            <w:gridSpan w:val="3"/>
            <w:tcBorders/>
            <w:shd w:fill="auto" w:val="clear"/>
          </w:tcPr>
          <w:p>
            <w:pPr>
              <w:pStyle w:val="Normal"/>
              <w:tabs>
                <w:tab w:val="clear" w:pos="709"/>
                <w:tab w:val="left" w:pos="440" w:leader="none"/>
                <w:tab w:val="right" w:pos="9061" w:leader="dot"/>
              </w:tabs>
              <w:spacing w:lineRule="auto" w:line="360" w:before="0" w:after="0"/>
              <w:jc w:val="both"/>
              <w:rPr>
                <w:rFonts w:ascii="Arial" w:hAnsi="Arial" w:eastAsia="Calibri" w:cs="Arial"/>
                <w:sz w:val="24"/>
                <w:szCs w:val="24"/>
              </w:rPr>
            </w:pPr>
            <w:r>
              <w:rPr>
                <w:rFonts w:eastAsia="Calibri" w:cs="Arial" w:ascii="Arial" w:hAnsi="Arial"/>
                <w:sz w:val="14"/>
                <w:szCs w:val="14"/>
              </w:rPr>
              <w:t>Приложение ДБ (справочное) Оригинальный текст модифицированных структурных элементов примененного международного стандарта</w:t>
            </w:r>
            <w:r>
              <w:rPr>
                <w:rFonts w:cs="Arial" w:ascii="Arial" w:hAnsi="Arial"/>
                <w:bCs/>
                <w:sz w:val="14"/>
                <w:szCs w:val="14"/>
              </w:rPr>
              <w:tab/>
            </w:r>
          </w:p>
        </w:tc>
        <w:tc>
          <w:tcPr>
            <w:tcW w:w="840"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r>
        <w:trPr>
          <w:trHeight w:val="182" w:hRule="atLeast"/>
        </w:trPr>
        <w:tc>
          <w:tcPr>
            <w:tcW w:w="8731" w:type="dxa"/>
            <w:gridSpan w:val="3"/>
            <w:tcBorders/>
            <w:shd w:fill="auto" w:val="clear"/>
          </w:tcPr>
          <w:p>
            <w:pPr>
              <w:pStyle w:val="Normal"/>
              <w:tabs>
                <w:tab w:val="clear" w:pos="709"/>
                <w:tab w:val="left" w:pos="440" w:leader="none"/>
                <w:tab w:val="right" w:pos="9061" w:leader="dot"/>
              </w:tabs>
              <w:spacing w:lineRule="auto" w:line="360" w:before="0" w:after="0"/>
              <w:jc w:val="both"/>
              <w:rPr>
                <w:rFonts w:ascii="Arial" w:hAnsi="Arial" w:eastAsia="Calibri" w:cs="Arial"/>
                <w:sz w:val="14"/>
                <w:szCs w:val="14"/>
              </w:rPr>
            </w:pPr>
            <w:r>
              <w:rPr>
                <w:rFonts w:eastAsia="Calibri" w:cs="Arial" w:ascii="Arial" w:hAnsi="Arial"/>
                <w:sz w:val="14"/>
                <w:szCs w:val="14"/>
              </w:rPr>
            </w:r>
          </w:p>
        </w:tc>
        <w:tc>
          <w:tcPr>
            <w:tcW w:w="840" w:type="dxa"/>
            <w:tcBorders/>
            <w:shd w:fill="auto" w:val="clear"/>
          </w:tcPr>
          <w:p>
            <w:pPr>
              <w:pStyle w:val="Normal"/>
              <w:tabs>
                <w:tab w:val="clear" w:pos="709"/>
                <w:tab w:val="left" w:pos="440" w:leader="none"/>
                <w:tab w:val="right" w:pos="9061" w:leader="dot"/>
              </w:tabs>
              <w:spacing w:lineRule="auto" w:line="360" w:before="0" w:after="0"/>
              <w:rPr>
                <w:rFonts w:ascii="Arial" w:hAnsi="Arial" w:eastAsia="Calibri" w:cs="Arial"/>
                <w:sz w:val="14"/>
                <w:szCs w:val="14"/>
              </w:rPr>
            </w:pPr>
            <w:r>
              <w:rPr>
                <w:rFonts w:eastAsia="Calibri" w:cs="Arial" w:ascii="Arial" w:hAnsi="Arial"/>
                <w:sz w:val="14"/>
                <w:szCs w:val="14"/>
              </w:rPr>
            </w:r>
          </w:p>
        </w:tc>
      </w:tr>
    </w:tbl>
    <w:p>
      <w:pPr>
        <w:pStyle w:val="Normal"/>
        <w:spacing w:lineRule="auto" w:line="360" w:before="0" w:after="0"/>
        <w:ind w:firstLine="708"/>
        <w:jc w:val="center"/>
        <w:rPr>
          <w:rFonts w:ascii="Times New Roman" w:hAnsi="Times New Roman" w:cs="Times New Roman"/>
          <w:b/>
          <w:b/>
          <w:bCs/>
          <w:sz w:val="28"/>
          <w:szCs w:val="28"/>
        </w:rPr>
      </w:pPr>
      <w:r>
        <w:rPr>
          <w:rFonts w:cs="Times New Roman" w:ascii="Times New Roman" w:hAnsi="Times New Roman"/>
          <w:b/>
          <w:bCs/>
          <w:sz w:val="14"/>
          <w:szCs w:val="14"/>
        </w:rPr>
        <w:tab/>
      </w:r>
    </w:p>
    <w:p>
      <w:pPr>
        <w:sectPr>
          <w:headerReference w:type="even" r:id="rId5"/>
          <w:headerReference w:type="default" r:id="rId6"/>
          <w:footerReference w:type="even" r:id="rId7"/>
          <w:footerReference w:type="default" r:id="rId8"/>
          <w:type w:val="nextPage"/>
          <w:pgSz w:w="11906" w:h="16838"/>
          <w:pgMar w:left="851" w:right="1418" w:header="708" w:top="1134" w:footer="708" w:bottom="1276" w:gutter="0"/>
          <w:pgNumType w:fmt="decimal"/>
          <w:formProt w:val="false"/>
          <w:textDirection w:val="lrTb"/>
          <w:docGrid w:type="default" w:linePitch="360" w:charSpace="4096"/>
        </w:sectPr>
        <w:pStyle w:val="Normal"/>
        <w:spacing w:lineRule="auto" w:line="360" w:before="0" w:after="0"/>
        <w:ind w:firstLine="708"/>
        <w:jc w:val="center"/>
        <w:rPr>
          <w:rFonts w:ascii="Times New Roman" w:hAnsi="Times New Roman" w:cs="Times New Roman"/>
          <w:b/>
          <w:b/>
          <w:bCs/>
          <w:sz w:val="14"/>
          <w:szCs w:val="14"/>
        </w:rPr>
      </w:pPr>
      <w:r>
        <w:rPr>
          <w:rFonts w:cs="Times New Roman" w:ascii="Times New Roman" w:hAnsi="Times New Roman"/>
          <w:b/>
          <w:bCs/>
          <w:sz w:val="14"/>
          <w:szCs w:val="14"/>
        </w:rPr>
      </w:r>
    </w:p>
    <w:tbl>
      <w:tblPr>
        <w:tblW w:w="9287" w:type="dxa"/>
        <w:jc w:val="left"/>
        <w:tblInd w:w="0" w:type="dxa"/>
        <w:tblCellMar>
          <w:top w:w="0" w:type="dxa"/>
          <w:left w:w="108" w:type="dxa"/>
          <w:bottom w:w="0" w:type="dxa"/>
          <w:right w:w="108" w:type="dxa"/>
        </w:tblCellMar>
        <w:tblLook w:val="00a0" w:noVBand="0" w:noHBand="0" w:lastColumn="0" w:firstColumn="1" w:lastRow="0" w:firstRow="1"/>
      </w:tblPr>
      <w:tblGrid>
        <w:gridCol w:w="9287"/>
      </w:tblGrid>
      <w:tr>
        <w:trPr>
          <w:trHeight w:val="397" w:hRule="atLeast"/>
        </w:trPr>
        <w:tc>
          <w:tcPr>
            <w:tcW w:w="9287" w:type="dxa"/>
            <w:tcBorders>
              <w:bottom w:val="single" w:sz="36" w:space="0" w:color="000000"/>
            </w:tcBorders>
            <w:shd w:fill="auto" w:val="clear"/>
            <w:vAlign w:val="center"/>
          </w:tcPr>
          <w:p>
            <w:pPr>
              <w:pStyle w:val="Normal"/>
              <w:spacing w:lineRule="auto" w:line="360" w:before="0" w:after="200"/>
              <w:jc w:val="center"/>
              <w:rPr>
                <w:rFonts w:ascii="Times New Roman" w:hAnsi="Times New Roman" w:eastAsia="Calibri" w:cs="Times New Roman"/>
                <w:b/>
                <w:b/>
                <w:sz w:val="24"/>
                <w:szCs w:val="24"/>
                <w:lang w:eastAsia="ru-RU"/>
              </w:rPr>
            </w:pPr>
            <w:r>
              <w:rPr>
                <w:rFonts w:eastAsia="Times New Roman" w:cs="Arial" w:ascii="Arial" w:hAnsi="Arial"/>
                <w:b/>
                <w:spacing w:val="60"/>
                <w:sz w:val="14"/>
                <w:szCs w:val="14"/>
              </w:rPr>
              <w:t>НАЦИОНАЛЬНЫЙ СТАНДАРТ РОССИЙСКОЙ ФЕДЕРАЦИИ</w:t>
            </w:r>
          </w:p>
        </w:tc>
      </w:tr>
      <w:tr>
        <w:trPr>
          <w:trHeight w:val="2371" w:hRule="exact"/>
        </w:trPr>
        <w:tc>
          <w:tcPr>
            <w:tcW w:w="9287" w:type="dxa"/>
            <w:tcBorders>
              <w:top w:val="single" w:sz="36" w:space="0" w:color="000000"/>
              <w:bottom w:val="single" w:sz="24" w:space="0" w:color="000000"/>
            </w:tcBorders>
            <w:shd w:fill="auto" w:val="clear"/>
            <w:vAlign w:val="center"/>
          </w:tcPr>
          <w:p>
            <w:pPr>
              <w:pStyle w:val="Normal"/>
              <w:spacing w:before="0" w:after="0"/>
              <w:jc w:val="center"/>
              <w:rPr>
                <w:rFonts w:ascii="Arial" w:hAnsi="Arial" w:eastAsia="Times New Roman" w:cs="Arial"/>
                <w:b/>
                <w:b/>
                <w:caps/>
                <w:sz w:val="28"/>
                <w:szCs w:val="28"/>
              </w:rPr>
            </w:pPr>
            <w:r>
              <w:rPr>
                <w:rFonts w:eastAsia="Times New Roman" w:cs="Arial" w:ascii="Arial" w:hAnsi="Arial"/>
                <w:b/>
                <w:sz w:val="14"/>
                <w:szCs w:val="14"/>
              </w:rPr>
              <w:t>Аддитивные технологии</w:t>
            </w:r>
            <w:r>
              <w:rPr>
                <w:rFonts w:eastAsia="Times New Roman" w:cs="Arial" w:ascii="Arial" w:hAnsi="Arial"/>
                <w:b/>
                <w:caps/>
                <w:sz w:val="14"/>
                <w:szCs w:val="14"/>
              </w:rPr>
              <w:t xml:space="preserve"> </w:t>
            </w:r>
          </w:p>
          <w:p>
            <w:pPr>
              <w:pStyle w:val="Normal"/>
              <w:spacing w:before="0" w:after="0"/>
              <w:jc w:val="center"/>
              <w:rPr>
                <w:rFonts w:ascii="Arial" w:hAnsi="Arial" w:eastAsia="Times New Roman" w:cs="Arial"/>
                <w:b/>
                <w:b/>
                <w:caps/>
                <w:sz w:val="28"/>
                <w:szCs w:val="28"/>
              </w:rPr>
            </w:pPr>
            <w:r>
              <w:rPr>
                <w:rFonts w:eastAsia="Times New Roman" w:cs="Arial" w:ascii="Arial" w:hAnsi="Arial"/>
                <w:b/>
                <w:sz w:val="14"/>
                <w:szCs w:val="14"/>
              </w:rPr>
              <w:t>УПРАВЛЕНИЕ ЖИЗНЕННЫМ ЦИКЛОМ МЕТАЛЛОПОРОШКОВЫХ КОМПОЗИЦИЙ</w:t>
            </w:r>
          </w:p>
          <w:p>
            <w:pPr>
              <w:pStyle w:val="Normal"/>
              <w:tabs>
                <w:tab w:val="clear" w:pos="709"/>
                <w:tab w:val="center" w:pos="4677" w:leader="none"/>
                <w:tab w:val="right" w:pos="9355" w:leader="none"/>
              </w:tabs>
              <w:spacing w:before="0" w:after="0"/>
              <w:jc w:val="center"/>
              <w:rPr>
                <w:rFonts w:ascii="Arial" w:hAnsi="Arial" w:eastAsia="Times New Roman" w:cs="Arial"/>
                <w:b/>
                <w:b/>
                <w:caps/>
                <w:sz w:val="28"/>
                <w:szCs w:val="28"/>
                <w:lang w:val="en-US"/>
              </w:rPr>
            </w:pPr>
            <w:r>
              <w:rPr>
                <w:rFonts w:eastAsia="Times New Roman" w:cs="Arial" w:ascii="Arial" w:hAnsi="Arial"/>
                <w:b/>
                <w:sz w:val="14"/>
                <w:szCs w:val="14"/>
              </w:rPr>
              <w:t>Общие</w:t>
            </w:r>
            <w:r>
              <w:rPr>
                <w:rFonts w:eastAsia="Times New Roman" w:cs="Arial" w:ascii="Arial" w:hAnsi="Arial"/>
                <w:b/>
                <w:sz w:val="14"/>
                <w:szCs w:val="14"/>
                <w:lang w:val="en-US"/>
              </w:rPr>
              <w:t xml:space="preserve"> </w:t>
            </w:r>
            <w:r>
              <w:rPr>
                <w:rFonts w:eastAsia="Times New Roman" w:cs="Arial" w:ascii="Arial" w:hAnsi="Arial"/>
                <w:b/>
                <w:sz w:val="14"/>
                <w:szCs w:val="14"/>
              </w:rPr>
              <w:t>требования</w:t>
            </w:r>
          </w:p>
          <w:p>
            <w:pPr>
              <w:pStyle w:val="Normal"/>
              <w:tabs>
                <w:tab w:val="clear" w:pos="709"/>
                <w:tab w:val="center" w:pos="4677" w:leader="none"/>
                <w:tab w:val="right" w:pos="9355" w:leader="none"/>
              </w:tabs>
              <w:spacing w:lineRule="auto" w:line="240" w:before="0" w:after="0"/>
              <w:jc w:val="center"/>
              <w:rPr>
                <w:rFonts w:ascii="Arial" w:hAnsi="Arial" w:eastAsia="Times New Roman" w:cs="Arial"/>
                <w:b/>
                <w:b/>
                <w:caps/>
                <w:sz w:val="14"/>
                <w:szCs w:val="14"/>
                <w:lang w:val="en-US"/>
              </w:rPr>
            </w:pPr>
            <w:r>
              <w:rPr>
                <w:rFonts w:eastAsia="Times New Roman" w:cs="Arial" w:ascii="Arial" w:hAnsi="Arial"/>
                <w:b/>
                <w:caps/>
                <w:sz w:val="14"/>
                <w:szCs w:val="14"/>
                <w:lang w:val="en-US"/>
              </w:rPr>
            </w:r>
          </w:p>
          <w:p>
            <w:pPr>
              <w:pStyle w:val="Normal"/>
              <w:spacing w:lineRule="auto" w:line="240" w:before="0" w:after="0"/>
              <w:jc w:val="center"/>
              <w:rPr>
                <w:rFonts w:ascii="Arial" w:hAnsi="Arial" w:eastAsia="Times New Roman" w:cs="Arial"/>
                <w:sz w:val="24"/>
                <w:szCs w:val="24"/>
                <w:lang w:val="en-US"/>
              </w:rPr>
            </w:pPr>
            <w:r>
              <w:rPr>
                <w:rFonts w:eastAsia="Times New Roman" w:cs="Arial" w:ascii="Arial" w:hAnsi="Arial"/>
                <w:sz w:val="14"/>
                <w:szCs w:val="14"/>
                <w:lang w:val="en-US"/>
              </w:rPr>
              <w:t>Additive technologies. Additive technologies centers. General provisions</w:t>
            </w:r>
          </w:p>
        </w:tc>
      </w:tr>
    </w:tbl>
    <w:p>
      <w:pPr>
        <w:pStyle w:val="Normal"/>
        <w:spacing w:lineRule="auto" w:line="360" w:before="240" w:after="200"/>
        <w:jc w:val="right"/>
        <w:rPr>
          <w:rFonts w:ascii="Arial" w:hAnsi="Arial" w:cs="Arial"/>
          <w:b/>
          <w:b/>
          <w:sz w:val="24"/>
          <w:szCs w:val="28"/>
        </w:rPr>
      </w:pPr>
      <w:r>
        <w:rPr>
          <w:rFonts w:cs="Arial" w:ascii="Arial" w:hAnsi="Arial"/>
          <w:b/>
          <w:sz w:val="14"/>
          <w:szCs w:val="14"/>
        </w:rPr>
        <w:t xml:space="preserve">Дата введения — 202   —    —  </w:t>
      </w:r>
    </w:p>
    <w:p>
      <w:pPr>
        <w:pStyle w:val="Normal"/>
        <w:spacing w:lineRule="auto" w:line="360" w:before="0" w:after="240"/>
        <w:ind w:firstLine="709"/>
        <w:rPr>
          <w:rFonts w:ascii="Arial" w:hAnsi="Arial" w:cs="Arial"/>
          <w:b/>
          <w:b/>
          <w:sz w:val="28"/>
          <w:szCs w:val="28"/>
        </w:rPr>
      </w:pPr>
      <w:r>
        <w:rPr>
          <w:rFonts w:cs="Arial" w:ascii="Arial" w:hAnsi="Arial"/>
          <w:b/>
          <w:sz w:val="14"/>
          <w:szCs w:val="14"/>
        </w:rPr>
        <w:t>1 Область применения</w:t>
      </w:r>
    </w:p>
    <w:p>
      <w:pPr>
        <w:pStyle w:val="Normal"/>
        <w:tabs>
          <w:tab w:val="left" w:pos="709" w:leader="none"/>
        </w:tabs>
        <w:spacing w:lineRule="auto" w:line="360" w:before="0" w:after="0"/>
        <w:ind w:firstLine="709"/>
        <w:jc w:val="both"/>
        <w:rPr>
          <w:rFonts w:ascii="Arial" w:hAnsi="Arial" w:cs="Arial"/>
          <w:sz w:val="24"/>
          <w:szCs w:val="24"/>
        </w:rPr>
      </w:pPr>
      <w:r>
        <w:rPr>
          <w:rFonts w:cs="Arial" w:ascii="Arial" w:hAnsi="Arial"/>
          <w:sz w:val="14"/>
          <w:szCs w:val="14"/>
        </w:rPr>
        <w:t>Настоящий стандарт распространяется на металлопорошковые композиции (МПК) и устанавливает общие положения по обращению с МПК.</w:t>
      </w:r>
    </w:p>
    <w:p>
      <w:pPr>
        <w:pStyle w:val="Normal"/>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709"/>
        <w:jc w:val="both"/>
        <w:rPr>
          <w:rFonts w:ascii="Arial" w:hAnsi="Arial" w:cs="Arial"/>
          <w:szCs w:val="24"/>
        </w:rPr>
      </w:pPr>
      <w:r>
        <w:rPr>
          <w:rFonts w:cs="Arial" w:ascii="Arial" w:hAnsi="Arial"/>
          <w:spacing w:val="40"/>
          <w:sz w:val="14"/>
          <w:szCs w:val="14"/>
        </w:rPr>
        <w:t>Примечание</w:t>
      </w:r>
      <w:r>
        <w:rPr>
          <w:rFonts w:cs="Arial" w:ascii="Arial" w:hAnsi="Arial"/>
          <w:sz w:val="14"/>
          <w:szCs w:val="14"/>
        </w:rPr>
        <w:t xml:space="preserve"> – Настоящий стандарт может быть использован производителями и покупателями МПК, работниками, ответственными за обеспечение качества деталей, изготовленных при помощи аддитивных технологических процессов, а также поставщиками испытательного оборудования и средств измерения, предназначенных для определения характеристик МПК для использования в аддитивном производстве.</w:t>
      </w:r>
    </w:p>
    <w:p>
      <w:pPr>
        <w:pStyle w:val="Normal"/>
        <w:tabs>
          <w:tab w:val="left" w:pos="709" w:leader="none"/>
        </w:tabs>
        <w:spacing w:lineRule="auto" w:line="360" w:before="240" w:after="240"/>
        <w:ind w:firstLine="709"/>
        <w:rPr>
          <w:rFonts w:ascii="Arial" w:hAnsi="Arial" w:cs="Arial"/>
          <w:b/>
          <w:b/>
          <w:sz w:val="28"/>
          <w:szCs w:val="28"/>
        </w:rPr>
      </w:pPr>
      <w:r>
        <w:rPr>
          <w:rFonts w:cs="Arial" w:ascii="Arial" w:hAnsi="Arial"/>
          <w:b/>
          <w:sz w:val="14"/>
          <w:szCs w:val="14"/>
        </w:rPr>
        <w:t>2 Нормативные ссылки</w:t>
      </w:r>
    </w:p>
    <w:p>
      <w:pPr>
        <w:pStyle w:val="Normal"/>
        <w:spacing w:lineRule="auto" w:line="360" w:before="0" w:after="0"/>
        <w:ind w:firstLine="720"/>
        <w:jc w:val="both"/>
        <w:rPr>
          <w:rFonts w:ascii="Arial" w:hAnsi="Arial" w:cs="Arial"/>
          <w:sz w:val="24"/>
          <w:szCs w:val="24"/>
        </w:rPr>
      </w:pPr>
      <w:r>
        <w:rPr>
          <w:rFonts w:cs="Arial" w:ascii="Arial" w:hAnsi="Arial"/>
          <w:sz w:val="14"/>
          <w:szCs w:val="14"/>
        </w:rPr>
        <w:t xml:space="preserve">В настоящем стандарте использованы нормативные ссылки на следующие стандарты: </w:t>
      </w:r>
    </w:p>
    <w:p>
      <w:pPr>
        <w:pStyle w:val="1OsnAbz"/>
        <w:spacing w:lineRule="auto" w:line="360" w:before="120" w:after="0"/>
        <w:ind w:firstLine="720"/>
        <w:rPr>
          <w:rFonts w:eastAsia="Calibri" w:eastAsiaTheme="minorHAnsi"/>
          <w:color w:val="auto"/>
          <w:sz w:val="24"/>
          <w:szCs w:val="24"/>
          <w:lang w:eastAsia="en-US"/>
        </w:rPr>
      </w:pPr>
      <w:r>
        <w:rPr>
          <w:rFonts w:eastAsia="Calibri" w:eastAsiaTheme="minorHAnsi"/>
          <w:color w:val="auto"/>
          <w:sz w:val="14"/>
          <w:szCs w:val="14"/>
          <w:lang w:eastAsia="en-US"/>
        </w:rPr>
        <w:t>ГОСТ 23148 (ИСО 3954-77) Порошки, применяемые в порошковой металлургии. Отбор проб</w:t>
      </w:r>
    </w:p>
    <w:p>
      <w:pPr>
        <w:pStyle w:val="1OsnAbz"/>
        <w:spacing w:lineRule="auto" w:line="360" w:before="120" w:after="0"/>
        <w:ind w:firstLine="720"/>
        <w:rPr>
          <w:rFonts w:eastAsia="Calibri" w:eastAsiaTheme="minorHAnsi"/>
          <w:i/>
          <w:i/>
          <w:color w:val="auto"/>
          <w:sz w:val="24"/>
          <w:szCs w:val="24"/>
          <w:lang w:eastAsia="en-US"/>
        </w:rPr>
      </w:pPr>
      <w:r>
        <w:rPr>
          <w:rFonts w:eastAsia="Calibri" w:eastAsiaTheme="minorHAnsi"/>
          <w:color w:val="auto"/>
          <w:sz w:val="14"/>
          <w:szCs w:val="14"/>
          <w:lang w:eastAsia="en-US"/>
        </w:rPr>
        <w:t>ГОСТ Р 57558 /ISO/ASTM 52900:2015 Аддитивные технологические процессы. Базовые принципы. Часть 1. Термины и определения</w:t>
      </w:r>
    </w:p>
    <w:p>
      <w:pPr>
        <w:pStyle w:val="1OsnAbz"/>
        <w:spacing w:lineRule="auto" w:line="360" w:before="120" w:after="0"/>
        <w:ind w:firstLine="720"/>
        <w:rPr>
          <w:rFonts w:eastAsia="Calibri" w:eastAsiaTheme="minorHAnsi"/>
          <w:i/>
          <w:i/>
          <w:color w:val="auto"/>
          <w:sz w:val="24"/>
          <w:szCs w:val="24"/>
          <w:lang w:eastAsia="en-US"/>
        </w:rPr>
      </w:pPr>
      <w:r>
        <w:rPr>
          <w:rFonts w:eastAsia="Calibri" w:eastAsiaTheme="minorHAnsi"/>
          <w:i/>
          <w:color w:val="auto"/>
          <w:sz w:val="14"/>
          <w:szCs w:val="14"/>
          <w:lang w:eastAsia="en-US"/>
        </w:rPr>
        <w:t>ГОСТ Р 59035 Аддитивные технологии. Металлопорошковые композиции. Общие требования</w:t>
      </w:r>
    </w:p>
    <w:p>
      <w:pPr>
        <w:pStyle w:val="1OsnAbz"/>
        <w:spacing w:lineRule="auto" w:line="360" w:before="120" w:after="0"/>
        <w:ind w:firstLine="720"/>
        <w:rPr>
          <w:rFonts w:eastAsia="Calibri" w:eastAsiaTheme="minorHAnsi"/>
          <w:i/>
          <w:i/>
          <w:color w:val="auto"/>
          <w:sz w:val="24"/>
          <w:szCs w:val="24"/>
          <w:lang w:eastAsia="en-US"/>
        </w:rPr>
      </w:pPr>
      <w:r>
        <w:rPr>
          <w:rFonts w:eastAsia="Times New Roman"/>
          <w:spacing w:val="42"/>
          <w:sz w:val="14"/>
          <w:szCs w:val="14"/>
        </w:rPr>
        <w:t>Примечание</w:t>
      </w:r>
      <w:r>
        <w:rPr>
          <w:rFonts w:eastAsia="Times New Roman"/>
          <w:sz w:val="14"/>
          <w:szCs w:val="14"/>
        </w:rPr>
        <w:t xml:space="preserve"> </w:t>
      </w:r>
      <w:r>
        <w:rPr>
          <w:rFonts w:eastAsia="Calibri"/>
          <w:i/>
          <w:sz w:val="14"/>
          <w:szCs w:val="14"/>
        </w:rPr>
        <w:t>—</w:t>
      </w:r>
      <w:r>
        <w:rPr>
          <w:rFonts w:eastAsia="Times New Roman"/>
          <w:sz w:val="14"/>
          <w:szCs w:val="14"/>
        </w:rPr>
        <w:t xml:space="preserve"> При пользовании настоящим стандартом целесообразно проверить действие ссылочных стандартов в информационной системе общего пользования</w:t>
        <w:br/>
      </w:r>
    </w:p>
    <w:p>
      <w:pPr>
        <w:pStyle w:val="Normal"/>
        <w:pBdr>
          <w:top w:val="single" w:sz="4" w:space="1" w:color="000000"/>
        </w:pBdr>
        <w:tabs>
          <w:tab w:val="left" w:pos="709" w:leader="none"/>
        </w:tabs>
        <w:spacing w:lineRule="auto" w:line="240" w:before="240" w:after="0"/>
        <w:jc w:val="both"/>
        <w:rPr>
          <w:rFonts w:ascii="Arial" w:hAnsi="Arial" w:cs="Arial"/>
          <w:b/>
          <w:b/>
          <w:sz w:val="24"/>
          <w:szCs w:val="24"/>
        </w:rPr>
      </w:pPr>
      <w:r>
        <w:rPr>
          <w:rFonts w:cs="Arial" w:ascii="Arial" w:hAnsi="Arial"/>
          <w:b/>
          <w:sz w:val="14"/>
          <w:szCs w:val="14"/>
        </w:rPr>
        <w:t>Проект, первая редакция</w:t>
      </w:r>
    </w:p>
    <w:p>
      <w:pPr>
        <w:pStyle w:val="Normal"/>
        <w:spacing w:before="120" w:after="200"/>
        <w:jc w:val="both"/>
        <w:rPr>
          <w:rFonts w:ascii="Arial" w:hAnsi="Arial" w:eastAsia="Times New Roman" w:cs="Arial"/>
        </w:rPr>
      </w:pPr>
      <w:r>
        <w:rPr>
          <w:rFonts w:eastAsia="Calibri" w:cs="Arial" w:ascii="Arial" w:hAnsi="Arial"/>
          <w:i/>
          <w:sz w:val="14"/>
          <w:szCs w:val="14"/>
        </w:rPr>
        <w:t>—</w:t>
      </w:r>
      <w:r>
        <w:rPr>
          <w:rFonts w:eastAsia="Times New Roman" w:cs="Arial" w:ascii="Arial" w:hAnsi="Arial"/>
          <w:sz w:val="14"/>
          <w:szCs w:val="14"/>
        </w:rPr>
        <w:t xml:space="preserve"> </w:t>
      </w:r>
      <w:r>
        <w:rPr>
          <w:rFonts w:eastAsia="Times New Roman" w:cs="Arial" w:ascii="Arial" w:hAnsi="Arial"/>
          <w:sz w:val="14"/>
          <w:szCs w:val="14"/>
        </w:rPr>
        <w:t>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pPr>
        <w:pStyle w:val="Normal"/>
        <w:tabs>
          <w:tab w:val="left" w:pos="709" w:leader="none"/>
        </w:tabs>
        <w:spacing w:lineRule="auto" w:line="360" w:before="280" w:after="280"/>
        <w:ind w:firstLine="709"/>
        <w:rPr>
          <w:rFonts w:ascii="Arial" w:hAnsi="Arial" w:cs="Arial"/>
          <w:b/>
          <w:b/>
          <w:sz w:val="28"/>
          <w:szCs w:val="28"/>
        </w:rPr>
      </w:pPr>
      <w:r>
        <w:rPr>
          <w:rFonts w:cs="Arial" w:ascii="Arial" w:hAnsi="Arial"/>
          <w:b/>
          <w:sz w:val="14"/>
          <w:szCs w:val="14"/>
        </w:rPr>
        <w:t>3 Термины и определения</w:t>
      </w:r>
    </w:p>
    <w:p>
      <w:pPr>
        <w:pStyle w:val="Normal"/>
        <w:tabs>
          <w:tab w:val="left" w:pos="709" w:leader="none"/>
        </w:tabs>
        <w:spacing w:lineRule="auto" w:line="360" w:before="0" w:after="0"/>
        <w:ind w:firstLine="709"/>
        <w:jc w:val="both"/>
        <w:rPr>
          <w:rFonts w:ascii="Arial" w:hAnsi="Arial" w:cs="Arial"/>
          <w:sz w:val="24"/>
          <w:szCs w:val="24"/>
        </w:rPr>
      </w:pPr>
      <w:r>
        <w:rPr>
          <w:rFonts w:cs="Arial" w:ascii="Arial" w:hAnsi="Arial"/>
          <w:sz w:val="14"/>
          <w:szCs w:val="14"/>
        </w:rPr>
        <w:t>В настоящем стандарте применены термины по ГОСТ Р 57558, а также следующие термины с соответствующими определениями:</w:t>
      </w:r>
    </w:p>
    <w:p>
      <w:pPr>
        <w:pStyle w:val="Normal"/>
        <w:widowControl w:val="false"/>
        <w:spacing w:lineRule="auto" w:line="360" w:before="0" w:after="0"/>
        <w:ind w:firstLine="567"/>
        <w:jc w:val="both"/>
        <w:rPr>
          <w:rFonts w:ascii="Arial" w:hAnsi="Arial" w:cs="Arial"/>
          <w:sz w:val="24"/>
          <w:szCs w:val="24"/>
        </w:rPr>
      </w:pPr>
      <w:r>
        <w:rPr>
          <w:rFonts w:cs="Arial" w:ascii="Arial" w:hAnsi="Arial"/>
          <w:sz w:val="14"/>
          <w:szCs w:val="14"/>
        </w:rPr>
        <w:t>3.1</w:t>
      </w:r>
      <w:r>
        <w:rPr>
          <w:rFonts w:cs="Arial" w:ascii="Arial" w:hAnsi="Arial"/>
          <w:b/>
          <w:sz w:val="14"/>
          <w:szCs w:val="14"/>
        </w:rPr>
        <w:t xml:space="preserve"> разделение </w:t>
      </w:r>
      <w:r>
        <w:rPr>
          <w:rFonts w:cs="Arial" w:ascii="Arial" w:hAnsi="Arial"/>
          <w:sz w:val="14"/>
          <w:szCs w:val="14"/>
        </w:rPr>
        <w:t>(</w:t>
      </w:r>
      <w:r>
        <w:rPr>
          <w:rFonts w:cs="Arial" w:ascii="Arial" w:hAnsi="Arial"/>
          <w:sz w:val="14"/>
          <w:szCs w:val="14"/>
          <w:lang w:val="en-US"/>
        </w:rPr>
        <w:t>split</w:t>
      </w:r>
      <w:r>
        <w:rPr>
          <w:rFonts w:cs="Arial" w:ascii="Arial" w:hAnsi="Arial"/>
          <w:sz w:val="14"/>
          <w:szCs w:val="14"/>
        </w:rPr>
        <w:t>): Физическое разделении партии на один или несколько меньших объемов МПК.</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rPr>
      </w:pPr>
      <w:r>
        <w:rPr>
          <w:rFonts w:cs="Arial" w:ascii="Arial" w:hAnsi="Arial"/>
          <w:spacing w:val="20"/>
          <w:sz w:val="14"/>
          <w:szCs w:val="14"/>
        </w:rPr>
        <w:t>Примечание</w:t>
      </w:r>
      <w:r>
        <w:rPr>
          <w:rFonts w:cs="Arial" w:ascii="Arial" w:hAnsi="Arial"/>
          <w:sz w:val="14"/>
          <w:szCs w:val="14"/>
        </w:rPr>
        <w:t xml:space="preserve"> – примером разделения является получение из одной большой партии МПК нескольких частей, предназначенных для различных установок АП.</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sz w:val="24"/>
          <w:szCs w:val="24"/>
        </w:rPr>
      </w:pPr>
      <w:r>
        <w:rPr>
          <w:rFonts w:cs="Arial" w:ascii="Arial" w:hAnsi="Arial"/>
          <w:sz w:val="14"/>
          <w:szCs w:val="14"/>
        </w:rPr>
        <w:t>3.2</w:t>
      </w:r>
      <w:r>
        <w:rPr>
          <w:rFonts w:cs="Arial" w:ascii="Arial" w:hAnsi="Arial"/>
          <w:b/>
          <w:sz w:val="14"/>
          <w:szCs w:val="14"/>
        </w:rPr>
        <w:t xml:space="preserve"> подпартия</w:t>
      </w:r>
      <w:r>
        <w:rPr>
          <w:rFonts w:cs="Arial" w:ascii="Arial" w:hAnsi="Arial"/>
          <w:sz w:val="14"/>
          <w:szCs w:val="14"/>
        </w:rPr>
        <w:t xml:space="preserve"> (</w:t>
      </w:r>
      <w:r>
        <w:rPr>
          <w:rFonts w:cs="Arial" w:ascii="Arial" w:hAnsi="Arial"/>
          <w:sz w:val="14"/>
          <w:szCs w:val="14"/>
          <w:lang w:val="en-US"/>
        </w:rPr>
        <w:t>sub</w:t>
      </w:r>
      <w:r>
        <w:rPr>
          <w:rFonts w:cs="Arial" w:ascii="Arial" w:hAnsi="Arial"/>
          <w:sz w:val="14"/>
          <w:szCs w:val="14"/>
        </w:rPr>
        <w:t>-</w:t>
      </w:r>
      <w:r>
        <w:rPr>
          <w:rFonts w:cs="Arial" w:ascii="Arial" w:hAnsi="Arial"/>
          <w:sz w:val="14"/>
          <w:szCs w:val="14"/>
          <w:lang w:val="en-US"/>
        </w:rPr>
        <w:t>batch</w:t>
      </w:r>
      <w:r>
        <w:rPr>
          <w:rFonts w:cs="Arial" w:ascii="Arial" w:hAnsi="Arial"/>
          <w:sz w:val="14"/>
          <w:szCs w:val="14"/>
        </w:rPr>
        <w:t>): Количество МПК, полученное в результате разделения большей партии на части.</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rPr>
      </w:pPr>
      <w:r>
        <w:rPr>
          <w:rFonts w:cs="Arial" w:ascii="Arial" w:hAnsi="Arial"/>
          <w:spacing w:val="20"/>
          <w:sz w:val="14"/>
          <w:szCs w:val="14"/>
        </w:rPr>
        <w:t>Примечание</w:t>
      </w:r>
      <w:r>
        <w:rPr>
          <w:rFonts w:cs="Arial" w:ascii="Arial" w:hAnsi="Arial"/>
          <w:sz w:val="14"/>
          <w:szCs w:val="14"/>
        </w:rPr>
        <w:t xml:space="preserve"> – Подпартия может быть обозначена как одна новая партия МПК.</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sz w:val="24"/>
          <w:szCs w:val="24"/>
        </w:rPr>
      </w:pPr>
      <w:r>
        <w:rPr>
          <w:rFonts w:cs="Arial" w:ascii="Arial" w:hAnsi="Arial"/>
          <w:sz w:val="14"/>
          <w:szCs w:val="14"/>
        </w:rPr>
        <w:t>3.3</w:t>
      </w:r>
      <w:r>
        <w:rPr>
          <w:rFonts w:cs="Arial" w:ascii="Arial" w:hAnsi="Arial"/>
          <w:b/>
          <w:sz w:val="14"/>
          <w:szCs w:val="14"/>
        </w:rPr>
        <w:t xml:space="preserve"> объединение</w:t>
      </w:r>
      <w:r>
        <w:rPr>
          <w:rFonts w:cs="Arial" w:ascii="Arial" w:hAnsi="Arial"/>
          <w:sz w:val="14"/>
          <w:szCs w:val="14"/>
        </w:rPr>
        <w:t xml:space="preserve"> (</w:t>
      </w:r>
      <w:r>
        <w:rPr>
          <w:rFonts w:cs="Arial" w:ascii="Arial" w:hAnsi="Arial"/>
          <w:sz w:val="14"/>
          <w:szCs w:val="14"/>
          <w:lang w:val="en-US"/>
        </w:rPr>
        <w:t>combine</w:t>
      </w:r>
      <w:r>
        <w:rPr>
          <w:rFonts w:cs="Arial" w:ascii="Arial" w:hAnsi="Arial"/>
          <w:sz w:val="14"/>
          <w:szCs w:val="14"/>
        </w:rPr>
        <w:t>): Операция, при которой две или более партии с одинаковыми номинальными характеристиками МПК соединяют без перемешивания.</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rPr>
      </w:pPr>
      <w:r>
        <w:rPr>
          <w:rFonts w:cs="Arial" w:ascii="Arial" w:hAnsi="Arial"/>
          <w:spacing w:val="20"/>
          <w:sz w:val="14"/>
          <w:szCs w:val="14"/>
        </w:rPr>
        <w:t>Примечание</w:t>
      </w:r>
      <w:r>
        <w:rPr>
          <w:rFonts w:cs="Arial" w:ascii="Arial" w:hAnsi="Arial"/>
          <w:sz w:val="14"/>
          <w:szCs w:val="14"/>
        </w:rPr>
        <w:t xml:space="preserve"> – примером объединения может быть дозагрузка МПК в установку АП, когда в ней осталась ранее загруженная МПК.</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sz w:val="24"/>
          <w:szCs w:val="24"/>
        </w:rPr>
      </w:pPr>
      <w:r>
        <w:rPr>
          <w:rFonts w:cs="Arial" w:ascii="Arial" w:hAnsi="Arial"/>
          <w:sz w:val="14"/>
          <w:szCs w:val="14"/>
        </w:rPr>
        <w:t>3.4</w:t>
      </w:r>
      <w:r>
        <w:rPr>
          <w:rFonts w:cs="Arial" w:ascii="Arial" w:hAnsi="Arial"/>
          <w:b/>
          <w:sz w:val="14"/>
          <w:szCs w:val="14"/>
        </w:rPr>
        <w:t xml:space="preserve"> показатель использования </w:t>
      </w:r>
      <w:r>
        <w:rPr>
          <w:rFonts w:cs="Arial" w:ascii="Arial" w:hAnsi="Arial"/>
          <w:sz w:val="14"/>
          <w:szCs w:val="14"/>
        </w:rPr>
        <w:t>(</w:t>
      </w:r>
      <w:r>
        <w:rPr>
          <w:rFonts w:cs="Arial" w:ascii="Arial" w:hAnsi="Arial"/>
          <w:sz w:val="14"/>
          <w:szCs w:val="14"/>
          <w:lang w:val="en-US"/>
        </w:rPr>
        <w:t>reuse</w:t>
      </w:r>
      <w:r>
        <w:rPr>
          <w:rFonts w:cs="Arial" w:ascii="Arial" w:hAnsi="Arial"/>
          <w:sz w:val="14"/>
          <w:szCs w:val="14"/>
        </w:rPr>
        <w:t xml:space="preserve"> </w:t>
      </w:r>
      <w:r>
        <w:rPr>
          <w:rFonts w:cs="Arial" w:ascii="Arial" w:hAnsi="Arial"/>
          <w:sz w:val="14"/>
          <w:szCs w:val="14"/>
          <w:lang w:val="en-US"/>
        </w:rPr>
        <w:t>metric</w:t>
      </w:r>
      <w:r>
        <w:rPr>
          <w:rFonts w:cs="Arial" w:ascii="Arial" w:hAnsi="Arial"/>
          <w:sz w:val="14"/>
          <w:szCs w:val="14"/>
        </w:rPr>
        <w:t>): Характеристика, количественно описывающая объем операций, проведенных с партией МПК, в том числе использование МПК в процессе построения.</w:t>
      </w:r>
    </w:p>
    <w:p>
      <w:pPr>
        <w:pStyle w:val="Normal"/>
        <w:widowControl w:val="false"/>
        <w:spacing w:lineRule="auto" w:line="360" w:before="0" w:after="0"/>
        <w:ind w:firstLine="567"/>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567"/>
        <w:jc w:val="both"/>
        <w:rPr>
          <w:rFonts w:ascii="Arial" w:hAnsi="Arial" w:cs="Arial"/>
        </w:rPr>
      </w:pPr>
      <w:r>
        <w:rPr>
          <w:rFonts w:cs="Arial" w:ascii="Arial" w:hAnsi="Arial"/>
          <w:spacing w:val="20"/>
          <w:sz w:val="14"/>
          <w:szCs w:val="14"/>
        </w:rPr>
        <w:t>Примечание</w:t>
      </w:r>
      <w:r>
        <w:rPr>
          <w:rFonts w:cs="Arial" w:ascii="Arial" w:hAnsi="Arial"/>
          <w:sz w:val="14"/>
          <w:szCs w:val="14"/>
        </w:rPr>
        <w:t xml:space="preserve"> – Показатель может быть выражен как число построений или других операций с МПК, или как непрерывный показатель, например, общее время воздействия лазера (время включения лазера) или общая поглощенная энергия излучения.</w:t>
      </w:r>
    </w:p>
    <w:p>
      <w:pPr>
        <w:pStyle w:val="Normal"/>
        <w:widowControl w:val="false"/>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ListParagraph"/>
        <w:keepNext w:val="true"/>
        <w:tabs>
          <w:tab w:val="clear" w:pos="709"/>
          <w:tab w:val="left" w:pos="851" w:leader="none"/>
        </w:tabs>
        <w:spacing w:lineRule="auto" w:line="360" w:before="0" w:after="0"/>
        <w:ind w:left="709" w:hanging="0"/>
        <w:contextualSpacing/>
        <w:jc w:val="both"/>
        <w:rPr>
          <w:rFonts w:ascii="Arial" w:hAnsi="Arial" w:cs="Arial"/>
          <w:b/>
          <w:b/>
          <w:sz w:val="28"/>
          <w:szCs w:val="28"/>
        </w:rPr>
      </w:pPr>
      <w:r>
        <w:rPr>
          <w:rFonts w:cs="Arial" w:ascii="Arial" w:hAnsi="Arial"/>
          <w:b/>
          <w:sz w:val="14"/>
          <w:szCs w:val="14"/>
        </w:rPr>
        <w:t>4 Характеристики МПК</w:t>
      </w:r>
    </w:p>
    <w:p>
      <w:pPr>
        <w:pStyle w:val="Normal"/>
        <w:widowControl w:val="false"/>
        <w:tabs>
          <w:tab w:val="clear" w:pos="709"/>
          <w:tab w:val="left" w:pos="851" w:leader="none"/>
        </w:tabs>
        <w:spacing w:lineRule="auto" w:line="360" w:before="0" w:after="0"/>
        <w:ind w:firstLine="709"/>
        <w:jc w:val="both"/>
        <w:rPr>
          <w:rFonts w:ascii="Arial" w:hAnsi="Arial" w:cs="Arial"/>
          <w:sz w:val="24"/>
          <w:szCs w:val="24"/>
        </w:rPr>
      </w:pPr>
      <w:r>
        <w:rPr>
          <w:rFonts w:cs="Arial" w:ascii="Arial" w:hAnsi="Arial"/>
          <w:sz w:val="14"/>
          <w:szCs w:val="14"/>
        </w:rPr>
        <w:t xml:space="preserve">4.1 Для обеспечения повторяемости процесса, а также соответствия синтезированного материала конечного изделия установленным требованиям требуется измерение и контроль ключевых свойств МПК при приемке и повторном использовании сырья. </w:t>
      </w:r>
    </w:p>
    <w:p>
      <w:pPr>
        <w:pStyle w:val="Normal"/>
        <w:widowControl w:val="false"/>
        <w:tabs>
          <w:tab w:val="clear" w:pos="709"/>
          <w:tab w:val="left" w:pos="851" w:leader="none"/>
        </w:tabs>
        <w:spacing w:lineRule="auto" w:line="360" w:before="0" w:after="0"/>
        <w:ind w:firstLine="709"/>
        <w:jc w:val="both"/>
        <w:rPr>
          <w:rFonts w:ascii="Arial" w:hAnsi="Arial" w:cs="Arial"/>
          <w:sz w:val="24"/>
          <w:szCs w:val="24"/>
        </w:rPr>
      </w:pPr>
      <w:r>
        <w:rPr>
          <w:rFonts w:cs="Arial" w:ascii="Arial" w:hAnsi="Arial"/>
          <w:sz w:val="14"/>
          <w:szCs w:val="14"/>
        </w:rPr>
        <w:t>4.2 Основные характеристики МПК и рекомендуемые методы их определения приведены в ГОСТ Р 59035.</w:t>
      </w:r>
    </w:p>
    <w:p>
      <w:pPr>
        <w:pStyle w:val="Normal"/>
        <w:widowControl w:val="false"/>
        <w:tabs>
          <w:tab w:val="clear" w:pos="709"/>
          <w:tab w:val="left" w:pos="851" w:leader="none"/>
        </w:tabs>
        <w:spacing w:lineRule="auto" w:line="360" w:before="0" w:after="0"/>
        <w:ind w:firstLine="709"/>
        <w:jc w:val="both"/>
        <w:rPr>
          <w:rFonts w:ascii="Arial" w:hAnsi="Arial" w:cs="Arial"/>
          <w:sz w:val="24"/>
          <w:szCs w:val="24"/>
        </w:rPr>
      </w:pPr>
      <w:r>
        <w:rPr>
          <w:rFonts w:cs="Arial" w:ascii="Arial" w:hAnsi="Arial"/>
          <w:sz w:val="14"/>
          <w:szCs w:val="14"/>
        </w:rPr>
        <w:t>4.3 В производственной практике химический состав исходного МПК подвержен изменениям из-за явлений, связанных с технологическим процессом, таких как избирательное испарение отдельных элементов сплава, реакции с окружающими газами (например, кислородом, азотом) и/или поглощение сварочных паров и брызг.</w:t>
      </w:r>
    </w:p>
    <w:p>
      <w:pPr>
        <w:pStyle w:val="Normal"/>
        <w:widowControl w:val="false"/>
        <w:tabs>
          <w:tab w:val="clear" w:pos="709"/>
          <w:tab w:val="left" w:pos="851" w:leader="none"/>
        </w:tabs>
        <w:spacing w:lineRule="auto" w:line="360" w:before="0" w:after="0"/>
        <w:ind w:firstLine="709"/>
        <w:jc w:val="both"/>
        <w:rPr>
          <w:rFonts w:ascii="Arial" w:hAnsi="Arial" w:cs="Arial"/>
          <w:sz w:val="24"/>
          <w:szCs w:val="24"/>
        </w:rPr>
      </w:pPr>
      <w:r>
        <w:rPr>
          <w:rFonts w:cs="Arial" w:ascii="Arial" w:hAnsi="Arial"/>
          <w:sz w:val="14"/>
          <w:szCs w:val="14"/>
        </w:rPr>
        <w:t>Производитель изделий должен гарантировать, что химический состав МПК соответствует установленным требованиям на всех этапах его использования.</w:t>
      </w:r>
    </w:p>
    <w:p>
      <w:pPr>
        <w:pStyle w:val="Normal"/>
        <w:widowControl w:val="false"/>
        <w:tabs>
          <w:tab w:val="clear" w:pos="709"/>
          <w:tab w:val="left" w:pos="851"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851" w:leader="none"/>
        </w:tabs>
        <w:spacing w:lineRule="auto" w:line="360" w:before="0" w:after="0"/>
        <w:ind w:firstLine="709"/>
        <w:jc w:val="both"/>
        <w:rPr>
          <w:rFonts w:ascii="Arial" w:hAnsi="Arial" w:cs="Arial"/>
          <w:szCs w:val="24"/>
        </w:rPr>
      </w:pPr>
      <w:r>
        <w:rPr>
          <w:rFonts w:cs="Arial" w:ascii="Arial" w:hAnsi="Arial"/>
          <w:spacing w:val="40"/>
          <w:sz w:val="14"/>
          <w:szCs w:val="14"/>
        </w:rPr>
        <w:t>Примечание</w:t>
      </w:r>
      <w:r>
        <w:rPr>
          <w:rFonts w:cs="Arial" w:ascii="Arial" w:hAnsi="Arial"/>
          <w:sz w:val="14"/>
          <w:szCs w:val="14"/>
        </w:rPr>
        <w:t xml:space="preserve"> — Требования к химическому составу МПК могут отличаться от требований к синтезированному материалу, чтобы компенсировать потерю или увеличение количества элементов в аддитивном технологическом процессе.</w:t>
      </w:r>
    </w:p>
    <w:p>
      <w:pPr>
        <w:pStyle w:val="Normal"/>
        <w:keepNext w:val="tru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b/>
          <w:b/>
          <w:sz w:val="28"/>
          <w:szCs w:val="24"/>
        </w:rPr>
      </w:pPr>
      <w:r>
        <w:rPr>
          <w:rFonts w:cs="Arial" w:ascii="Arial" w:hAnsi="Arial"/>
          <w:b/>
          <w:sz w:val="14"/>
          <w:szCs w:val="14"/>
        </w:rPr>
        <w:t>5 Жизненный цикл МПК</w:t>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 Требования к партии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5.1.1 Общие положения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следующих разделах приведены разъяснения терминов, относящихся к управлению партиями МПК и обеспечения прослеживаемости. В частности, они охватывают определение партии и обозначение объемов МПК, которые являются результатом различных операций с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b/>
          <w:b/>
          <w:sz w:val="24"/>
          <w:szCs w:val="24"/>
        </w:rPr>
      </w:pPr>
      <w:r>
        <w:rPr>
          <w:rFonts w:cs="Arial" w:ascii="Arial" w:hAnsi="Arial"/>
          <w:b/>
          <w:sz w:val="14"/>
          <w:szCs w:val="14"/>
        </w:rPr>
        <w:t>5.1.2 Требования к МПК</w:t>
      </w:r>
    </w:p>
    <w:p>
      <w:pPr>
        <w:pStyle w:val="Normal"/>
        <w:keepNext w:val="true"/>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Пользователь может предъявлять различные требования для первичной МПК (предоставляемой поставщиком) и для использованной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5.1.3 Партия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Одна партия может быть использована для нескольких построений с различными технологическими параметрами. Однако необходимо учитывать, что технологические параметры могут влиять на срок службы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5.1.4 Смесь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Требования в части возможности смешивания партий МПК обычно определяют на основе области применения конечного изделия или соглашением между поставщиком изделия и конечным пользователем. Необходимо различать смесь МПК и смешанную МПК. Смесь МПК представляет собой результат объединения нескольких партий МПК с номинально идентичным составом, тогда как смешанная МПК представляет собой смесь нескольких МПК с различным составом. Смесь МПК может быть проконтролирована на предмет соответствии установленным требованиям, и обозначена как новая партия.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5.1.5 Смешанная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Смешанные МПК не следует использовать для производства из-за возможных различий в свойствах материала. Смешанные МПК не допускается обозначать как новую партию.</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5.1.6 Объединение</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При объединении МПК со значительно отличающимся сроком службы/степенью использования следует учитывать ожидаемые различия в свойствах МПК. Результат объединения не должен обозначаться как новая партия.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b/>
          <w:b/>
          <w:sz w:val="24"/>
          <w:szCs w:val="24"/>
        </w:rPr>
      </w:pPr>
      <w:r>
        <w:rPr>
          <w:rFonts w:cs="Arial" w:ascii="Arial" w:hAnsi="Arial"/>
          <w:b/>
          <w:sz w:val="14"/>
          <w:szCs w:val="14"/>
        </w:rPr>
        <w:t>5.1.7 Показатель использования</w:t>
      </w:r>
    </w:p>
    <w:p>
      <w:pPr>
        <w:pStyle w:val="Normal"/>
        <w:keepNext w:val="tru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sz w:val="24"/>
          <w:szCs w:val="24"/>
        </w:rPr>
      </w:pPr>
      <w:r>
        <w:rPr>
          <w:rFonts w:cs="Arial" w:ascii="Arial" w:hAnsi="Arial"/>
          <w:sz w:val="14"/>
          <w:szCs w:val="14"/>
        </w:rPr>
        <w:t>Если какой-либо аспект выполнения задания на построение не зафиксирован (например, при последовательных сборках используют различные схемы построения или технологические параметры), рекомендуется применять для показателя использования непрерывную шкалу (например, общее время воздействия на МПК), так как скорость изменения характеристик МПК будет отличаться в зависимости от параметров, схемы построения и геометрии деталей.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Если все аспекты выполнения задания на построение фиксированы, то применимо использование итерационного показателя (например, количество построений).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При смешивании двух или более партий МПК итоговой партии присваивают наиболее высокий показатель использования из всех показателей смешиваемых партий. Например, если использованную партию с показателем использования «3 построения» смешать с использованной партией с показателем использования «2 сборки» и первичной партией («0 построений»), полученная партия должна иметь результирующий показатель использования «3 построения».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5.2 Прослеживаемость</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Пользователь должен обеспечить систему отслеживания и регистрации каждого события (операции с партией или использование МПК для построения), которое происходит с партией МПК, а также любой информации или сведений, связанных с указанными событиями. Система должна обеспечивать возможность прослеживания всех событий с партией МПК от текущего состояния до первоначальной приемки партии пользователем.</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 xml:space="preserve">Рекомендуется использовать все возможные методы мониторинга и прослеживания с подтвержденной надежностью. </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b/>
          <w:b/>
          <w:sz w:val="24"/>
          <w:szCs w:val="24"/>
        </w:rPr>
      </w:pPr>
      <w:r>
        <w:rPr>
          <w:rFonts w:cs="Arial" w:ascii="Arial" w:hAnsi="Arial"/>
          <w:b/>
          <w:sz w:val="14"/>
          <w:szCs w:val="14"/>
        </w:rPr>
        <w:t>5.2.1 История событий</w:t>
      </w:r>
    </w:p>
    <w:p>
      <w:pPr>
        <w:pStyle w:val="Normal"/>
        <w:keepNext w:val="true"/>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sz w:val="24"/>
          <w:szCs w:val="24"/>
        </w:rPr>
      </w:pPr>
      <w:r>
        <w:rPr>
          <w:rFonts w:cs="Arial" w:ascii="Arial" w:hAnsi="Arial"/>
          <w:sz w:val="14"/>
          <w:szCs w:val="14"/>
        </w:rPr>
        <w:t>Система должна фиксировать, как минимум, следующие операции и процессы:</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a</w:t>
      </w:r>
      <w:r>
        <w:rPr>
          <w:rFonts w:cs="Arial" w:ascii="Arial" w:hAnsi="Arial"/>
          <w:sz w:val="14"/>
          <w:szCs w:val="14"/>
        </w:rPr>
        <w:t>) разделение партии МПК для формирования одной или нескольких подпартий;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b</w:t>
      </w:r>
      <w:r>
        <w:rPr>
          <w:rFonts w:cs="Arial" w:ascii="Arial" w:hAnsi="Arial"/>
          <w:sz w:val="14"/>
          <w:szCs w:val="14"/>
        </w:rPr>
        <w:t>) объединение партии МПК с другой партией или подпартией;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c</w:t>
      </w:r>
      <w:r>
        <w:rPr>
          <w:rFonts w:cs="Arial" w:ascii="Arial" w:hAnsi="Arial"/>
          <w:sz w:val="14"/>
          <w:szCs w:val="14"/>
        </w:rPr>
        <w:t>) смешивание партии МПК с другой партией или подпартией;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d) просеивание партии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e) загрузка партии или подпартии в систему АП;</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f) использование партии в системе АП;</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g) выгрузка партии или подпартии из системы АП 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f</w:t>
      </w:r>
      <w:r>
        <w:rPr>
          <w:rFonts w:cs="Arial" w:ascii="Arial" w:hAnsi="Arial"/>
          <w:sz w:val="14"/>
          <w:szCs w:val="14"/>
        </w:rPr>
        <w:t>) отбор проб из партии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5.2.2 Текущий статус партии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Для партии МПК в любой момент времени должна быть известна и зафиксирована следующая информация: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a</w:t>
      </w:r>
      <w:r>
        <w:rPr>
          <w:rFonts w:cs="Arial" w:ascii="Arial" w:hAnsi="Arial"/>
          <w:sz w:val="14"/>
          <w:szCs w:val="14"/>
        </w:rPr>
        <w:t>) местоположение (например, склад, изолятор, производственный участок, систему АП, в которую загружена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b</w:t>
      </w:r>
      <w:r>
        <w:rPr>
          <w:rFonts w:cs="Arial" w:ascii="Arial" w:hAnsi="Arial"/>
          <w:sz w:val="14"/>
          <w:szCs w:val="14"/>
        </w:rPr>
        <w:t>) данные о характеристиках МПК, указанные в сопроводительной документации к партии (предоставленной поставщиком), требования к МПК, а также сведения о соответствии указанным требованиям;</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c</w:t>
      </w:r>
      <w:r>
        <w:rPr>
          <w:rFonts w:cs="Arial" w:ascii="Arial" w:hAnsi="Arial"/>
          <w:sz w:val="14"/>
          <w:szCs w:val="14"/>
        </w:rPr>
        <w:t>) история событий;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d</w:t>
      </w:r>
      <w:r>
        <w:rPr>
          <w:rFonts w:cs="Arial" w:ascii="Arial" w:hAnsi="Arial"/>
          <w:sz w:val="14"/>
          <w:szCs w:val="14"/>
        </w:rPr>
        <w:t>) оставшееся количество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lang w:val="en-US"/>
        </w:rPr>
        <w:t>e</w:t>
      </w:r>
      <w:r>
        <w:rPr>
          <w:rFonts w:cs="Arial" w:ascii="Arial" w:hAnsi="Arial"/>
          <w:sz w:val="14"/>
          <w:szCs w:val="14"/>
        </w:rPr>
        <w:t>) показатель использования.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5.2.3 Маркировка</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Чтобы обеспечить прослеживаемость на протяжении всего жизненного цикла МПК на территории пользователя, в дополнение к тому, что предусмотрено в ГОСТ Р 59035, упаковка с МПК должна иметь уникальную этикетку или код, которые либо содержат, либо при помощи которых можно извлечь приведенную ниже информацию (например, штрих-код, связанный с цифровой базой данных).</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a) обозначение металла или сплава (например, Инконель 718);</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b) номер партии/уникальный идентификатор;</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c) основная фракция МПК (например, 15-45 мкм);</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d) дата поставки/дата производства;</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e) вес нетто содержимого;</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f) масса нетто;</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g) текущий статус партии;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h) история событий.</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5.3 Обращение с МПК</w:t>
      </w:r>
    </w:p>
    <w:p>
      <w:pPr>
        <w:pStyle w:val="Normal"/>
        <w:widowControl w:val="false"/>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Операции обращения с МПК необходимо проводить при стабильных условиях окружающей среды и, желательно, в диапазоне температур 15°C — 25°C при относительной влажности воздуха менее 55%. Во время всех операций обращения с МПК рекомендуется контролировать температуру и влажность, чтобы можно было выявить значимые изменения и принять соответствующие меры. Операции с химически активными металлами и сплавами, подверженными окислению в условиях окружающей среды, такими как титан и медь, следует проводить, при возможности, в среде инертного защитного газа, например, аргона. Этого можно достичь, выполняя операции обращения с МПК в перчаточном боксе, работающем в атмосфере инертного газа, или при помощи замкнутой системы обработки МПК (физические соединения между установками, контейнерами или автономными модулями, при которых МПК не подвергают воздействию атмосферы, а операторов не подвергают воздействию МПК), использующей в качестве газа-носителя инертного газа.</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5.3.1 Хранение</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 xml:space="preserve">МПК следует хранить в тех же условиях, что и при их использовании на производстве или при проведении испытаний, чтобы свести к минимуму риск появления конденсата (влаги) при транспортировке. В частности, пользователям следует избегать хранения МПК при температуре ниже 15 °C или хранения в местах с нестабильным уровнем температуры и влажности. </w:t>
      </w:r>
      <w:r>
        <w:rPr>
          <w:rFonts w:cs="Arial" w:ascii="Arial" w:hAnsi="Arial"/>
          <w:sz w:val="14"/>
          <w:szCs w:val="14"/>
          <w:lang w:val="en-US"/>
        </w:rPr>
        <w:t>C</w:t>
      </w:r>
      <w:r>
        <w:rPr>
          <w:rFonts w:cs="Arial" w:ascii="Arial" w:hAnsi="Arial"/>
          <w:sz w:val="14"/>
          <w:szCs w:val="14"/>
        </w:rPr>
        <w:t>рок годности при хранении на складе герметичных контейнеров, полученных от поставщика, должен быть указан поставщиком, но будет зависеть от основы сплава и условий хранения. Для того, чтобы свести к минимуму окисление и попадание влаги, МПК может быть упакована в защитной инертной атмосфере, например, в атмосфере аргона, такая практика рекомендуется для МПК на основе химически активных сплавов. Для обеспечения мониторинга и контроля окружающей среды внутри и снаружи контейнера могут быть использованы контейнеры со встроенными датчиками (локальными или датчиками интернета вещей) температуры, влажности и кислорода. Такие датчики могут быть использованы для оповещения пользователей при достижении нежелательных условий.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случае непрерывного хранения МПК в течение 6 месяцев или дольше из-за возможного негативного воздействия длительного хранения рекомендуется проверить, соответствуют ли ключевые свойства МПК, такие как содержание кислорода, влажность и текучесть, установленным требованиям. В качестве альтернативного варианта проверки соответствия МПК можно при помощи контрольного построения установить, могут ли быть достигнуты заданные свойства детали.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5.3.2 Транспортирование</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Рекомендуется по возможности транспортировать МПК в системе с замкнутым контуром, чтобы свести к минимуму загрязнение посторонними материалами из атмосферы и свести к минимуму контакт МПК с операторами. Чтобы избежать образования конденсата, во время транспортировки МПК и контейнер должны быть одинаковой температуры. Все транспортируемые компоненты должны быть выдержаны в условиях окружающей среды перед проведением операций. В качестве альтернативы для определения наличия стабильных и безопасных условий перед транспортировкой МПК может использоваться, система датчиков (локальные или датчики интернета вещей) влажности, температуры и кислорода, установленных на аддитивном оборудовании и оборудовании для обработки МПК, а также в помещении.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Оборудование для транспортирования МПК должно быть предназначено для использования только с МПК одного сплава или соответствующим образом очищаться, чтобы избежать перекрестного загрязнения. Методы очистки должны быть проведены в соответствии с установленным внутренними процедурами (стандартная рабочая процедура) или другой документацией. Методы очистки должны быть валидированы для подтверждения эффективности и могут быть предметом соглашения между заказчиком и производителем.</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b/>
          <w:b/>
          <w:sz w:val="24"/>
          <w:szCs w:val="24"/>
        </w:rPr>
      </w:pPr>
      <w:r>
        <w:rPr>
          <w:rFonts w:cs="Arial" w:ascii="Arial" w:hAnsi="Arial"/>
          <w:b/>
          <w:sz w:val="14"/>
          <w:szCs w:val="14"/>
        </w:rPr>
        <w:t>5.4 Переработка/повторное использование сырья</w:t>
      </w:r>
    </w:p>
    <w:p>
      <w:pPr>
        <w:pStyle w:val="Normal"/>
        <w:keepNext w:val="true"/>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Контейнеры для МПК с переработанной и первичной МПК из одной партии могут быть смешаны вместе в разных пропорциях. Полученная смесь должна быть гомогенизирована, чтобы свести к минимуму изменчивость процесса. Процентное содержание первичной и использованной МПК может определяться на основе допустимого снижения механических свойств конечного изделия, например, приемлемой потери прочности. Некоторые материалы из-за увеличения содержания кислорода или азота при повторном использовании МПК могут демонстрировать более высокую прочность (например, титан).</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документах по стандартизации на конкретные марки МПК могут быть прописаны требования о регистрации соотношения первичного и использованной МПК, а также информация о максимальном количестве повторного использования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Максимальный показатель использования для определенной производственной партии может быть определен на основе статистических данных, полученных и подтверждённых производителем при выполнении фиксированного набора шагов.</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Ограничение повторного использования МПК может быть установлено следующим образом:</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a) указанием максимального количества построений;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b) указанием максимального времени воздействия или общей энергии воздействия;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c) при помощи контроля образцов-свидетелей, полученных при последнем построение детали;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d) при помощи контроля соответствия установленным требованиям МПК, оставшейся после последнего построения.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производстве могут быть реализованы различные методы повторного использования МПК, которые должны быть задокументированы, эффективность применения методов должны быть подтверждена. К методам, которые могут быть использованы и которые доказали свою эффективность относят следующие:</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1) без добавления первичной МПК;</w:t>
      </w:r>
    </w:p>
    <w:p>
      <w:pPr>
        <w:pStyle w:val="Normal"/>
        <w:widowControl w:val="false"/>
        <w:spacing w:lineRule="auto" w:line="360" w:before="0" w:after="0"/>
        <w:ind w:firstLine="993"/>
        <w:jc w:val="both"/>
        <w:rPr>
          <w:rFonts w:ascii="Arial" w:hAnsi="Arial" w:cs="Arial"/>
          <w:sz w:val="24"/>
          <w:szCs w:val="24"/>
        </w:rPr>
      </w:pPr>
      <w:r>
        <w:rPr>
          <w:rFonts w:cs="Arial" w:ascii="Arial" w:hAnsi="Arial"/>
          <w:sz w:val="14"/>
          <w:szCs w:val="14"/>
        </w:rPr>
        <w:t>а) без повторного использования МПК;</w:t>
      </w:r>
    </w:p>
    <w:p>
      <w:pPr>
        <w:pStyle w:val="Normal"/>
        <w:widowControl w:val="false"/>
        <w:spacing w:lineRule="auto" w:line="360" w:before="0" w:after="0"/>
        <w:ind w:firstLine="993"/>
        <w:jc w:val="both"/>
        <w:rPr>
          <w:rFonts w:ascii="Arial" w:hAnsi="Arial" w:cs="Arial"/>
          <w:sz w:val="24"/>
          <w:szCs w:val="24"/>
        </w:rPr>
      </w:pPr>
      <w:r>
        <w:rPr>
          <w:rFonts w:cs="Arial" w:ascii="Arial" w:hAnsi="Arial"/>
          <w:sz w:val="14"/>
          <w:szCs w:val="14"/>
        </w:rPr>
        <w:t>б) дискретное повторное использование до тех пор, пока МПК не закончится;</w:t>
      </w:r>
    </w:p>
    <w:p>
      <w:pPr>
        <w:pStyle w:val="Normal"/>
        <w:widowControl w:val="false"/>
        <w:spacing w:lineRule="auto" w:line="360" w:before="0" w:after="0"/>
        <w:ind w:firstLine="993"/>
        <w:jc w:val="both"/>
        <w:rPr>
          <w:rFonts w:ascii="Arial" w:hAnsi="Arial" w:cs="Arial"/>
          <w:sz w:val="24"/>
          <w:szCs w:val="24"/>
        </w:rPr>
      </w:pPr>
      <w:r>
        <w:rPr>
          <w:rFonts w:cs="Arial" w:ascii="Arial" w:hAnsi="Arial"/>
          <w:sz w:val="14"/>
          <w:szCs w:val="14"/>
        </w:rPr>
        <w:t>в) непрерывное повторное использование путем дозаправки МПК непосредственно после построения;</w:t>
      </w:r>
    </w:p>
    <w:p>
      <w:pPr>
        <w:pStyle w:val="Normal"/>
        <w:widowControl w:val="false"/>
        <w:spacing w:lineRule="auto" w:line="360" w:before="0" w:after="0"/>
        <w:ind w:firstLine="993"/>
        <w:jc w:val="both"/>
        <w:rPr>
          <w:rFonts w:ascii="Arial" w:hAnsi="Arial" w:cs="Arial"/>
          <w:sz w:val="24"/>
          <w:szCs w:val="24"/>
        </w:rPr>
      </w:pPr>
      <w:r>
        <w:rPr>
          <w:rFonts w:cs="Arial" w:ascii="Arial" w:hAnsi="Arial"/>
          <w:sz w:val="14"/>
          <w:szCs w:val="14"/>
        </w:rPr>
        <w:t>d) повторное использование МПК в процессе производства путем добавления МПК в процессе построения;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2) добавление первичной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а) добавление первичной МПК после каждого построения;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б) постоянное применение использованной МПК, путем добавления использованной МПК и, при необходимости добавление первичной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5.5 Вывод из оборота/утилизация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МПК при достижении максимального показателя использования должен быть утилизирован в соответствии с национальным законодательством. Допускается вместо утилизации промаркировать МПК как смесь для прототипирования и использоваться соответствующим образом или направить третьей стороне для переработки или направить в ВУЗы для использования в учебных целях.</w:t>
      </w:r>
    </w:p>
    <w:p>
      <w:pPr>
        <w:pStyle w:val="Normal"/>
        <w:keepNext w:val="tru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b/>
          <w:b/>
          <w:sz w:val="28"/>
          <w:szCs w:val="28"/>
        </w:rPr>
      </w:pPr>
      <w:r>
        <w:rPr>
          <w:rFonts w:cs="Arial" w:ascii="Arial" w:hAnsi="Arial"/>
          <w:b/>
          <w:sz w:val="14"/>
          <w:szCs w:val="14"/>
        </w:rPr>
        <w:t>6 Обеспечение соответствия МПК установленным требованиям</w:t>
      </w:r>
    </w:p>
    <w:p>
      <w:pPr>
        <w:pStyle w:val="Normal"/>
        <w:tabs>
          <w:tab w:val="left" w:pos="709" w:leader="none"/>
        </w:tabs>
        <w:spacing w:lineRule="auto" w:line="360" w:before="0" w:after="0"/>
        <w:jc w:val="center"/>
        <w:rPr>
          <w:rFonts w:ascii="Arial" w:hAnsi="Arial" w:cs="Arial"/>
          <w:sz w:val="14"/>
          <w:szCs w:val="14"/>
        </w:rPr>
      </w:pPr>
      <w:r>
        <w:rPr>
          <w:rFonts w:cs="Arial" w:ascii="Arial" w:hAnsi="Arial"/>
          <w:sz w:val="14"/>
          <w:szCs w:val="14"/>
        </w:rPr>
      </w:r>
    </w:p>
    <w:p>
      <w:pPr>
        <w:pStyle w:val="Normal"/>
        <w:widowControl w:val="false"/>
        <w:spacing w:lineRule="auto" w:line="360" w:before="0" w:after="0"/>
        <w:jc w:val="both"/>
        <w:rPr>
          <w:rFonts w:ascii="Arial" w:hAnsi="Arial" w:cs="Arial"/>
          <w:b/>
          <w:b/>
          <w:sz w:val="24"/>
          <w:szCs w:val="24"/>
        </w:rPr>
      </w:pPr>
      <w:r>
        <w:rPr>
          <w:rFonts w:cs="Arial" w:ascii="Arial" w:hAnsi="Arial"/>
          <w:b/>
          <w:sz w:val="14"/>
          <w:szCs w:val="14"/>
        </w:rPr>
        <w:t>6.1 Требования к документации</w:t>
      </w:r>
    </w:p>
    <w:p>
      <w:pPr>
        <w:pStyle w:val="Normal"/>
        <w:widowControl w:val="false"/>
        <w:spacing w:lineRule="auto" w:line="360" w:before="0" w:after="0"/>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Поставщик предоставляет пользователю следующую информацию о характеристиках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1) химический состав (включая содержание O</w:t>
      </w:r>
      <w:r>
        <w:rPr>
          <w:rFonts w:cs="Arial" w:ascii="Arial" w:hAnsi="Arial"/>
          <w:sz w:val="14"/>
          <w:szCs w:val="14"/>
          <w:vertAlign w:val="subscript"/>
        </w:rPr>
        <w:t>2</w:t>
      </w:r>
      <w:r>
        <w:rPr>
          <w:rFonts w:cs="Arial" w:ascii="Arial" w:hAnsi="Arial"/>
          <w:sz w:val="14"/>
          <w:szCs w:val="14"/>
        </w:rPr>
        <w:t xml:space="preserve"> и H</w:t>
      </w:r>
      <w:r>
        <w:rPr>
          <w:rFonts w:cs="Arial" w:ascii="Arial" w:hAnsi="Arial"/>
          <w:sz w:val="14"/>
          <w:szCs w:val="14"/>
          <w:vertAlign w:val="subscript"/>
        </w:rPr>
        <w:t>2</w:t>
      </w:r>
      <w:r>
        <w:rPr>
          <w:rFonts w:cs="Arial" w:ascii="Arial" w:hAnsi="Arial"/>
          <w:sz w:val="14"/>
          <w:szCs w:val="14"/>
        </w:rPr>
        <w:t>, при необходимости);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2) гранулометрический состав;</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3) характеристики текучести;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4) плотность после утряски;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5) насыпная плотность;</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6) свойства при упаковке.</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По согласованию между поставщиком МПК и потребителем может быть предоставлена другая информация.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 xml:space="preserve">В документации должен быть указан метод определения указанных характеристик (см. раздел 5). </w:t>
      </w:r>
    </w:p>
    <w:p>
      <w:pPr>
        <w:pStyle w:val="Normal"/>
        <w:widowControl w:val="false"/>
        <w:spacing w:lineRule="auto" w:line="360" w:before="0" w:after="0"/>
        <w:jc w:val="both"/>
        <w:rPr>
          <w:rFonts w:ascii="Arial" w:hAnsi="Arial" w:cs="Arial"/>
          <w:b/>
          <w:b/>
          <w:sz w:val="14"/>
          <w:szCs w:val="14"/>
        </w:rPr>
      </w:pPr>
      <w:r>
        <w:rPr>
          <w:rFonts w:cs="Arial" w:ascii="Arial" w:hAnsi="Arial"/>
          <w:b/>
          <w:sz w:val="14"/>
          <w:szCs w:val="14"/>
        </w:rPr>
      </w:r>
    </w:p>
    <w:p>
      <w:pPr>
        <w:pStyle w:val="Normal"/>
        <w:keepNext w:val="true"/>
        <w:widowControl w:val="false"/>
        <w:spacing w:lineRule="auto" w:line="360" w:before="0" w:after="0"/>
        <w:ind w:firstLine="709"/>
        <w:jc w:val="both"/>
        <w:rPr>
          <w:rFonts w:ascii="Arial" w:hAnsi="Arial" w:cs="Arial"/>
          <w:b/>
          <w:b/>
          <w:sz w:val="24"/>
          <w:szCs w:val="24"/>
        </w:rPr>
      </w:pPr>
      <w:r>
        <w:rPr>
          <w:rFonts w:cs="Arial" w:ascii="Arial" w:hAnsi="Arial"/>
          <w:b/>
          <w:sz w:val="14"/>
          <w:szCs w:val="14"/>
        </w:rPr>
        <w:t>6.2 Отбор проб</w:t>
      </w:r>
    </w:p>
    <w:p>
      <w:pPr>
        <w:pStyle w:val="Normal"/>
        <w:keepNext w:val="true"/>
        <w:widowControl w:val="false"/>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keepNext w:val="true"/>
        <w:widowControl w:val="false"/>
        <w:spacing w:lineRule="auto" w:line="360" w:before="0" w:after="0"/>
        <w:ind w:firstLine="709"/>
        <w:jc w:val="both"/>
        <w:rPr>
          <w:rFonts w:ascii="Arial" w:hAnsi="Arial" w:cs="Arial"/>
          <w:b/>
          <w:b/>
          <w:sz w:val="24"/>
          <w:szCs w:val="24"/>
        </w:rPr>
      </w:pPr>
      <w:r>
        <w:rPr>
          <w:rFonts w:cs="Arial" w:ascii="Arial" w:hAnsi="Arial"/>
          <w:b/>
          <w:sz w:val="14"/>
          <w:szCs w:val="14"/>
        </w:rPr>
        <w:t>6.2.1 Общие замечания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Отбор проб проводят в соответствии с ГОСТ 23148. В настоящем стандарте различают отбор проб от непрерывного потока (например, с конвейера или при транспортировании из одного контейнера в другой) и от МПК в упаковках. Рекомендуется отбирать образцы из потока МПК, следя за тем, чтобы образец был репрезентативен для всего объема испытуемого МПК.</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При отборе проб для испытаний характеристик МПК, которые зависят от содержания влаги в МПК, например, для определения текучести (см. 5.8), должны быть приняты меры предосторожности, чтобы избежать изменения содержания влаги в образцах за время между отбором пробы и проведением испытания. Так как МПК обладает высокой реакционной способностью к влажности, особенно важно свести к минимуму время воздействия изменяющихся условий окружающей среды и использовать подходящие контейнеры для отбора проб МПК.</w:t>
      </w:r>
    </w:p>
    <w:p>
      <w:pPr>
        <w:pStyle w:val="Normal"/>
        <w:widowControl w:val="false"/>
        <w:jc w:val="both"/>
        <w:rPr>
          <w:rFonts w:ascii="Arial" w:hAnsi="Arial" w:cs="Arial"/>
          <w:sz w:val="14"/>
          <w:szCs w:val="14"/>
        </w:rPr>
      </w:pPr>
      <w:r>
        <w:rPr>
          <w:rFonts w:cs="Arial" w:ascii="Arial" w:hAnsi="Arial"/>
          <w:sz w:val="14"/>
          <w:szCs w:val="14"/>
        </w:rPr>
      </w:r>
    </w:p>
    <w:p>
      <w:pPr>
        <w:pStyle w:val="Normal"/>
        <w:widowControl w:val="false"/>
        <w:jc w:val="center"/>
        <w:rPr>
          <w:rFonts w:ascii="Arial" w:hAnsi="Arial" w:cs="Arial"/>
          <w:sz w:val="20"/>
          <w:szCs w:val="20"/>
        </w:rPr>
      </w:pPr>
      <w:r>
        <w:rPr>
          <w:sz w:val="14"/>
          <w:szCs w:val="14"/>
        </w:rPr>
        <w:drawing>
          <wp:inline distT="0" distB="0" distL="0" distR="0">
            <wp:extent cx="3013710" cy="3705860"/>
            <wp:effectExtent l="0" t="0" r="0" b="0"/>
            <wp:docPr id="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
                    <pic:cNvPicPr>
                      <a:picLocks noChangeAspect="1" noChangeArrowheads="1"/>
                    </pic:cNvPicPr>
                  </pic:nvPicPr>
                  <pic:blipFill>
                    <a:blip r:embed="rId9"/>
                    <a:stretch>
                      <a:fillRect/>
                    </a:stretch>
                  </pic:blipFill>
                  <pic:spPr bwMode="auto">
                    <a:xfrm>
                      <a:off x="0" y="0"/>
                      <a:ext cx="3013710" cy="3705860"/>
                    </a:xfrm>
                    <a:prstGeom prst="rect">
                      <a:avLst/>
                    </a:prstGeom>
                  </pic:spPr>
                </pic:pic>
              </a:graphicData>
            </a:graphic>
          </wp:inline>
        </w:drawing>
      </w:r>
    </w:p>
    <w:p>
      <w:pPr>
        <w:pStyle w:val="Normal"/>
        <w:widowControl w:val="false"/>
        <w:spacing w:before="0" w:after="0"/>
        <w:jc w:val="center"/>
        <w:rPr>
          <w:rFonts w:ascii="Arial" w:hAnsi="Arial" w:cs="Arial"/>
          <w:sz w:val="18"/>
          <w:szCs w:val="20"/>
        </w:rPr>
      </w:pPr>
      <w:r>
        <w:rPr>
          <w:rFonts w:cs="Arial" w:ascii="Arial" w:hAnsi="Arial"/>
          <w:sz w:val="14"/>
          <w:szCs w:val="14"/>
        </w:rPr>
        <w:t>1 — партия, 2 — точечные пробы, 3 — объединенная проба; 4 – перемешивание; 5 – представительная проба; 6 — пробы для испытаний; 7 — навески для испытаний; 8 – образцы для испытаний; 9 – испытания</w:t>
      </w:r>
    </w:p>
    <w:p>
      <w:pPr>
        <w:pStyle w:val="Normal"/>
        <w:widowControl w:val="false"/>
        <w:spacing w:before="0" w:after="0"/>
        <w:jc w:val="center"/>
        <w:rPr>
          <w:rFonts w:ascii="Arial" w:hAnsi="Arial" w:cs="Arial"/>
          <w:sz w:val="14"/>
          <w:szCs w:val="14"/>
        </w:rPr>
      </w:pPr>
      <w:r>
        <w:rPr>
          <w:rFonts w:cs="Arial" w:ascii="Arial" w:hAnsi="Arial"/>
          <w:sz w:val="14"/>
          <w:szCs w:val="14"/>
        </w:rPr>
      </w:r>
    </w:p>
    <w:p>
      <w:pPr>
        <w:pStyle w:val="Normal"/>
        <w:widowControl w:val="false"/>
        <w:spacing w:before="0" w:after="0"/>
        <w:jc w:val="center"/>
        <w:rPr>
          <w:rFonts w:ascii="Arial" w:hAnsi="Arial" w:cs="Arial"/>
          <w:sz w:val="20"/>
          <w:szCs w:val="20"/>
        </w:rPr>
      </w:pPr>
      <w:r>
        <w:rPr>
          <w:rFonts w:cs="Arial" w:ascii="Arial" w:hAnsi="Arial"/>
          <w:sz w:val="14"/>
          <w:szCs w:val="14"/>
        </w:rPr>
        <w:t xml:space="preserve">Рисунок 1 – Схема отбора проб </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sz w:val="24"/>
          <w:szCs w:val="24"/>
        </w:rPr>
      </w:pPr>
      <w:r>
        <w:rPr>
          <w:rFonts w:cs="Arial" w:ascii="Arial" w:hAnsi="Arial"/>
          <w:b/>
          <w:sz w:val="14"/>
          <w:szCs w:val="14"/>
        </w:rPr>
        <w:t>6.2.2 Определение свойств первичной МПК и смесей МПК</w:t>
      </w:r>
    </w:p>
    <w:p>
      <w:pPr>
        <w:pStyle w:val="Normal"/>
        <w:keepNext w:val="true"/>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sz w:val="24"/>
          <w:szCs w:val="24"/>
        </w:rPr>
      </w:pPr>
      <w:r>
        <w:rPr>
          <w:rFonts w:cs="Arial" w:ascii="Arial" w:hAnsi="Arial"/>
          <w:sz w:val="14"/>
          <w:szCs w:val="14"/>
        </w:rPr>
        <w:t>Рекомендуется контролировать в соответствии с методами измерения, приведенными в настоящем стандарте, не только каждую новую партию первичной МПК, но и каждую смесь МПК, включающую использованную и первичную МПК. Данные рекомендации особенно актуальны для обеспечения стабильного качества деталей при серийном производстве. Чтобы свести к минимуму количество испытаний и обеспечить высокий уровень однородности МПК, рекомендуется смешивать как можно большие партии.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b/>
          <w:sz w:val="14"/>
          <w:szCs w:val="14"/>
        </w:rPr>
        <w:t>6.2.3 Определение свойств использованной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Так как различные истории температурного воздействия для использованной МПК могут привести к значительным различиям в качестве материала, для получения репрезентативного образца вся МПК должна быть гомогенизирована. На практике это может быть достигнуто, например, путем тщательного перемешивания МПК в смесителе. После перемешивания проба может быть отобрана от любой части МПК. При отсутствии смесителя достаточно большой емкости необходимо отобрать несколько проб из разных зон и смешать их вместе. Затем из этой смеси могут быть взяты пробы для испытаний.</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идеале гомогенизировать следует весь объем МПК, а не отдельные образцы.</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6.3 Методы испытаний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Известно, что химический состав, гранулометрический состав и форма частиц МПК изменяются со временем при использовании в процессе АП. Это в конечном счете влияет на надежность процесса и качество конечного изделия.</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Опыт показывает, что эти изменения могут быть более или менее выраженными, в зависимости от материала и системы. Так как все корреляции между гранулометрическим составом и формой частиц МПК еще изучены не до конца, важно проводить контроль на производстве через установленные промежутки времени.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Для получения достоверных заключений рекомендуется для всех методов испытаний и аналитических процедур, привлекать аккредитованные испытательные лаборатории, так как они обладают как необходимым испытательным оборудованием, так и компетентностью в соответствующей области.</w:t>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В разделе 4 настоящего стандарта приведена информация о характеристиках МПК, которая должна быть включены в протоколы испытаний.</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sz w:val="24"/>
          <w:szCs w:val="24"/>
        </w:rPr>
      </w:pPr>
      <w:r>
        <w:rPr>
          <w:rFonts w:cs="Arial" w:ascii="Arial" w:hAnsi="Arial"/>
          <w:b/>
          <w:sz w:val="14"/>
          <w:szCs w:val="14"/>
        </w:rPr>
        <w:t>7.4 Мониторинг и контроль условий окружающей среды</w:t>
      </w:r>
    </w:p>
    <w:p>
      <w:pPr>
        <w:pStyle w:val="Normal"/>
        <w:keepNext w:val="true"/>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При выполнении критических действий (например, операций обращения с МПК, подготовки оборудования и т.д.) до и/или после построения необходимо контролировать и регистрировать температуру и влажность. Данное требование можно реализовать с помощью ручной записи показаний датчиков установки AM, датчиков оборудования для транспортирования и хранения МПК и датчиков, которыми оборудованы помещения. В качестве альтернативы, как описано в подразделе 6.3, может использоваться интегрированная система (например, интернет вещей) датчиков для непрерывной регистрации и мониторинга температуры и влажности во всей системе.</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b/>
          <w:sz w:val="14"/>
          <w:szCs w:val="14"/>
        </w:rPr>
        <w:t>6.5 Периодичность контроля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Периодичность контроля зависит главным образом от метода повторного использования МПК, и риска изменения свойств МПК и должна быть установлена на основании объективной информации, учитывающей все детали использования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b/>
          <w:sz w:val="14"/>
          <w:szCs w:val="14"/>
        </w:rPr>
        <w:t xml:space="preserve">6.6 Акт приемочного контроля </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4"/>
          <w:szCs w:val="24"/>
        </w:rPr>
      </w:pPr>
      <w:r>
        <w:rPr>
          <w:rFonts w:cs="Arial" w:ascii="Arial" w:hAnsi="Arial"/>
          <w:sz w:val="14"/>
          <w:szCs w:val="14"/>
        </w:rPr>
        <w:t>Акт приемочного контроля должен содержать результаты определения ключевых характеристик МПК для конкретной партии. Акт приемочного контроля также может содержать характеристики, которые затруднительно или невозможно проверить при входном контроле.</w:t>
      </w:r>
      <w:r>
        <w:br w:type="page"/>
      </w:r>
    </w:p>
    <w:p>
      <w:pPr>
        <w:pStyle w:val="Normal"/>
        <w:tabs>
          <w:tab w:val="clear" w:pos="709"/>
          <w:tab w:val="left" w:pos="0" w:leader="none"/>
        </w:tabs>
        <w:spacing w:lineRule="auto" w:line="240" w:before="0" w:after="0"/>
        <w:jc w:val="center"/>
        <w:rPr>
          <w:rFonts w:ascii="Arial" w:hAnsi="Arial" w:cs="Arial"/>
          <w:b/>
          <w:b/>
          <w:sz w:val="24"/>
          <w:szCs w:val="24"/>
        </w:rPr>
      </w:pPr>
      <w:r>
        <w:rPr>
          <w:rFonts w:cs="Arial" w:ascii="Arial" w:hAnsi="Arial"/>
          <w:b/>
          <w:sz w:val="14"/>
          <w:szCs w:val="14"/>
        </w:rPr>
        <w:t>Приложение ДА</w:t>
      </w:r>
    </w:p>
    <w:p>
      <w:pPr>
        <w:pStyle w:val="Normal"/>
        <w:tabs>
          <w:tab w:val="clear" w:pos="709"/>
          <w:tab w:val="left" w:pos="0" w:leader="none"/>
        </w:tabs>
        <w:spacing w:lineRule="auto" w:line="240" w:before="0" w:after="0"/>
        <w:jc w:val="center"/>
        <w:rPr>
          <w:rFonts w:ascii="Arial" w:hAnsi="Arial" w:cs="Arial"/>
          <w:sz w:val="24"/>
          <w:szCs w:val="24"/>
        </w:rPr>
      </w:pPr>
      <w:r>
        <w:rPr>
          <w:rFonts w:cs="Arial" w:ascii="Arial" w:hAnsi="Arial"/>
          <w:sz w:val="14"/>
          <w:szCs w:val="14"/>
        </w:rPr>
        <w:t>(справочное)</w:t>
      </w:r>
    </w:p>
    <w:p>
      <w:pPr>
        <w:pStyle w:val="Normal"/>
        <w:tabs>
          <w:tab w:val="clear" w:pos="709"/>
          <w:tab w:val="left" w:pos="0" w:leader="none"/>
        </w:tabs>
        <w:spacing w:lineRule="auto" w:line="240" w:before="0" w:after="0"/>
        <w:jc w:val="center"/>
        <w:rPr>
          <w:rFonts w:ascii="Arial" w:hAnsi="Arial" w:cs="Arial"/>
          <w:b/>
          <w:b/>
          <w:sz w:val="24"/>
          <w:szCs w:val="24"/>
        </w:rPr>
      </w:pPr>
      <w:r>
        <w:rPr>
          <w:rFonts w:cs="Arial" w:ascii="Arial" w:hAnsi="Arial"/>
          <w:b/>
          <w:sz w:val="14"/>
          <w:szCs w:val="14"/>
        </w:rPr>
        <w:t>Оригинальный текст не включенных структурных элементов</w:t>
      </w:r>
    </w:p>
    <w:p>
      <w:pPr>
        <w:pStyle w:val="Normal"/>
        <w:tabs>
          <w:tab w:val="left" w:pos="709" w:leader="none"/>
        </w:tabs>
        <w:spacing w:before="0" w:after="0"/>
        <w:ind w:firstLine="709"/>
        <w:jc w:val="center"/>
        <w:rPr>
          <w:rFonts w:ascii="Arial" w:hAnsi="Arial" w:cs="Arial"/>
          <w:b/>
          <w:b/>
          <w:sz w:val="14"/>
          <w:szCs w:val="14"/>
        </w:rPr>
      </w:pPr>
      <w:r>
        <w:rPr>
          <w:rFonts w:cs="Arial" w:ascii="Arial" w:hAnsi="Arial"/>
          <w:b/>
          <w:sz w:val="14"/>
          <w:szCs w:val="14"/>
        </w:rPr>
      </w:r>
    </w:p>
    <w:p>
      <w:pPr>
        <w:pStyle w:val="Normal"/>
        <w:tabs>
          <w:tab w:val="left" w:pos="709" w:leader="none"/>
        </w:tabs>
        <w:spacing w:lineRule="auto" w:line="360" w:before="0" w:after="0"/>
        <w:ind w:firstLine="709"/>
        <w:jc w:val="both"/>
        <w:rPr>
          <w:rFonts w:ascii="Arial" w:hAnsi="Arial" w:cs="Arial"/>
        </w:rPr>
      </w:pPr>
      <w:r>
        <w:rPr>
          <w:rFonts w:cs="Arial" w:ascii="Arial" w:hAnsi="Arial"/>
          <w:b/>
          <w:sz w:val="14"/>
          <w:szCs w:val="14"/>
        </w:rPr>
        <w:t>ДА.1 Обозначения и сокращения</w:t>
      </w:r>
    </w:p>
    <w:p>
      <w:pPr>
        <w:pStyle w:val="ListParagraph"/>
        <w:widowControl w:val="false"/>
        <w:numPr>
          <w:ilvl w:val="1"/>
          <w:numId w:val="3"/>
        </w:numPr>
        <w:spacing w:lineRule="auto" w:line="360" w:before="0" w:after="0"/>
        <w:ind w:left="0" w:firstLine="709"/>
        <w:jc w:val="both"/>
        <w:rPr>
          <w:rFonts w:ascii="Arial" w:hAnsi="Arial" w:cs="Arial"/>
          <w:color w:val="000000"/>
          <w:lang w:eastAsia="ru-RU"/>
        </w:rPr>
      </w:pPr>
      <w:r>
        <w:rPr>
          <w:rFonts w:cs="Arial" w:ascii="Arial" w:hAnsi="Arial"/>
          <w:color w:val="000000"/>
          <w:sz w:val="14"/>
          <w:szCs w:val="14"/>
          <w:lang w:eastAsia="ru-RU"/>
        </w:rPr>
        <w:t>В настоящем стандарте используют следующие обозначения:</w:t>
      </w:r>
    </w:p>
    <w:p>
      <w:pPr>
        <w:pStyle w:val="ListParagraph"/>
        <w:widowControl w:val="false"/>
        <w:spacing w:lineRule="auto" w:line="360" w:before="0" w:after="0"/>
        <w:ind w:left="924" w:hanging="0"/>
        <w:jc w:val="both"/>
        <w:rPr>
          <w:rFonts w:ascii="Arial" w:hAnsi="Arial" w:cs="Arial"/>
          <w:color w:val="000000"/>
          <w:sz w:val="14"/>
          <w:szCs w:val="14"/>
          <w:lang w:eastAsia="ru-RU"/>
        </w:rPr>
      </w:pPr>
      <w:r>
        <w:rPr>
          <w:rFonts w:cs="Arial" w:ascii="Arial" w:hAnsi="Arial"/>
          <w:color w:val="000000"/>
          <w:sz w:val="14"/>
          <w:szCs w:val="14"/>
          <w:lang w:eastAsia="ru-RU"/>
        </w:rPr>
      </w:r>
    </w:p>
    <w:p>
      <w:pPr>
        <w:pStyle w:val="ListParagraph"/>
        <w:widowControl w:val="false"/>
        <w:spacing w:lineRule="auto" w:line="360" w:before="0" w:after="0"/>
        <w:ind w:left="924" w:hanging="924"/>
        <w:jc w:val="both"/>
        <w:rPr>
          <w:rFonts w:ascii="Arial" w:hAnsi="Arial" w:cs="Arial"/>
          <w:color w:val="000000"/>
          <w:sz w:val="20"/>
          <w:szCs w:val="20"/>
          <w:lang w:eastAsia="ru-RU"/>
        </w:rPr>
      </w:pPr>
      <w:r>
        <w:rPr>
          <w:rFonts w:cs="Arial" w:ascii="Arial" w:hAnsi="Arial"/>
          <w:color w:val="000000"/>
          <w:sz w:val="14"/>
          <w:szCs w:val="14"/>
          <w:lang w:eastAsia="ru-RU"/>
        </w:rPr>
        <w:t>Таблица ДА.1 – Обозначения и сокращения</w:t>
      </w:r>
    </w:p>
    <w:tbl>
      <w:tblPr>
        <w:tblW w:w="9627" w:type="dxa"/>
        <w:jc w:val="left"/>
        <w:tblInd w:w="0" w:type="dxa"/>
        <w:tblCellMar>
          <w:top w:w="0" w:type="dxa"/>
          <w:left w:w="108" w:type="dxa"/>
          <w:bottom w:w="0" w:type="dxa"/>
          <w:right w:w="108" w:type="dxa"/>
        </w:tblCellMar>
        <w:tblLook w:val="04a0" w:noVBand="1" w:noHBand="0" w:lastColumn="0" w:firstColumn="1" w:lastRow="0" w:firstRow="1"/>
      </w:tblPr>
      <w:tblGrid>
        <w:gridCol w:w="1521"/>
        <w:gridCol w:w="5754"/>
        <w:gridCol w:w="2352"/>
      </w:tblGrid>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Обозначение</w:t>
            </w:r>
          </w:p>
        </w:tc>
        <w:tc>
          <w:tcPr>
            <w:tcW w:w="5754"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Пояснение</w:t>
            </w:r>
          </w:p>
        </w:tc>
        <w:tc>
          <w:tcPr>
            <w:tcW w:w="2352"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Единица измерения</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D</w:t>
            </w:r>
            <w:r>
              <w:rPr>
                <w:rFonts w:cs="Arial" w:ascii="Arial" w:hAnsi="Arial"/>
                <w:sz w:val="14"/>
                <w:szCs w:val="14"/>
                <w:vertAlign w:val="subscript"/>
              </w:rPr>
              <w:t>v10</w:t>
            </w:r>
          </w:p>
        </w:tc>
        <w:tc>
          <w:tcPr>
            <w:tcW w:w="5754"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10 % квантиль распределения размера частиц в процентах по объему</w:t>
            </w:r>
          </w:p>
        </w:tc>
        <w:tc>
          <w:tcPr>
            <w:tcW w:w="2352"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мкм</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D</w:t>
            </w:r>
            <w:r>
              <w:rPr>
                <w:rFonts w:cs="Arial" w:ascii="Arial" w:hAnsi="Arial"/>
                <w:sz w:val="14"/>
                <w:szCs w:val="14"/>
                <w:vertAlign w:val="subscript"/>
              </w:rPr>
              <w:t>v50</w:t>
            </w:r>
          </w:p>
        </w:tc>
        <w:tc>
          <w:tcPr>
            <w:tcW w:w="5754"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50 % квантиль распределения размера частиц в процентах по объему</w:t>
            </w:r>
          </w:p>
        </w:tc>
        <w:tc>
          <w:tcPr>
            <w:tcW w:w="2352"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мкм</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D</w:t>
            </w:r>
            <w:r>
              <w:rPr>
                <w:rFonts w:cs="Arial" w:ascii="Arial" w:hAnsi="Arial"/>
                <w:sz w:val="14"/>
                <w:szCs w:val="14"/>
                <w:vertAlign w:val="subscript"/>
              </w:rPr>
              <w:t>v90</w:t>
            </w:r>
          </w:p>
        </w:tc>
        <w:tc>
          <w:tcPr>
            <w:tcW w:w="5754"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90 % квантиль распределения размера частиц в процентах по объему</w:t>
            </w:r>
          </w:p>
        </w:tc>
        <w:tc>
          <w:tcPr>
            <w:tcW w:w="2352"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мкм</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HR</w:t>
            </w:r>
          </w:p>
        </w:tc>
        <w:tc>
          <w:tcPr>
            <w:tcW w:w="5754" w:type="dxa"/>
            <w:tcBorders/>
            <w:shd w:fill="auto" w:val="clear"/>
          </w:tcPr>
          <w:p>
            <w:pPr>
              <w:pStyle w:val="Normal"/>
              <w:spacing w:before="0" w:after="200"/>
              <w:rPr>
                <w:rFonts w:ascii="Arial" w:hAnsi="Arial" w:cs="Arial"/>
                <w:sz w:val="20"/>
              </w:rPr>
            </w:pPr>
            <w:r>
              <w:rPr>
                <w:rFonts w:cs="Arial" w:ascii="Arial" w:hAnsi="Arial"/>
                <w:sz w:val="14"/>
                <w:szCs w:val="14"/>
              </w:rPr>
              <w:t>Коэффициент Хауснера</w:t>
            </w:r>
          </w:p>
        </w:tc>
        <w:tc>
          <w:tcPr>
            <w:tcW w:w="2352" w:type="dxa"/>
            <w:tcBorders/>
            <w:shd w:fill="auto" w:val="clear"/>
          </w:tcPr>
          <w:p>
            <w:pPr>
              <w:pStyle w:val="Normal"/>
              <w:spacing w:before="0" w:after="200"/>
              <w:rPr>
                <w:rFonts w:ascii="Arial" w:hAnsi="Arial" w:cs="Arial"/>
                <w:sz w:val="20"/>
              </w:rPr>
            </w:pPr>
            <w:r>
              <w:rPr>
                <w:rFonts w:cs="Arial" w:ascii="Arial" w:hAnsi="Arial"/>
                <w:sz w:val="14"/>
                <w:szCs w:val="14"/>
              </w:rPr>
              <w:t>—</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V∞</w:t>
            </w:r>
          </w:p>
        </w:tc>
        <w:tc>
          <w:tcPr>
            <w:tcW w:w="5754" w:type="dxa"/>
            <w:tcBorders/>
            <w:shd w:fill="auto" w:val="clear"/>
          </w:tcPr>
          <w:p>
            <w:pPr>
              <w:pStyle w:val="Normal"/>
              <w:spacing w:before="0" w:after="200"/>
              <w:rPr>
                <w:rFonts w:ascii="Arial" w:hAnsi="Arial" w:cs="Arial"/>
                <w:sz w:val="20"/>
              </w:rPr>
            </w:pPr>
            <w:r>
              <w:rPr>
                <w:rFonts w:cs="Arial" w:ascii="Arial" w:hAnsi="Arial"/>
                <w:sz w:val="14"/>
                <w:szCs w:val="14"/>
              </w:rPr>
              <w:t>Насыпной объем</w:t>
            </w:r>
          </w:p>
        </w:tc>
        <w:tc>
          <w:tcPr>
            <w:tcW w:w="2352" w:type="dxa"/>
            <w:tcBorders/>
            <w:shd w:fill="auto" w:val="clear"/>
          </w:tcPr>
          <w:p>
            <w:pPr>
              <w:pStyle w:val="Normal"/>
              <w:spacing w:before="0" w:after="200"/>
              <w:rPr>
                <w:rFonts w:ascii="Arial" w:hAnsi="Arial" w:cs="Arial"/>
                <w:sz w:val="20"/>
              </w:rPr>
            </w:pPr>
            <w:r>
              <w:rPr>
                <w:rFonts w:cs="Arial" w:ascii="Arial" w:hAnsi="Arial"/>
                <w:sz w:val="14"/>
                <w:szCs w:val="14"/>
              </w:rPr>
              <w:t>см3</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V0</w:t>
            </w:r>
          </w:p>
        </w:tc>
        <w:tc>
          <w:tcPr>
            <w:tcW w:w="5754" w:type="dxa"/>
            <w:tcBorders/>
            <w:shd w:fill="auto" w:val="clear"/>
          </w:tcPr>
          <w:p>
            <w:pPr>
              <w:pStyle w:val="Normal"/>
              <w:spacing w:before="0" w:after="200"/>
              <w:rPr>
                <w:rFonts w:ascii="Arial" w:hAnsi="Arial" w:cs="Arial"/>
                <w:sz w:val="20"/>
              </w:rPr>
            </w:pPr>
            <w:r>
              <w:rPr>
                <w:rFonts w:cs="Arial" w:ascii="Arial" w:hAnsi="Arial"/>
                <w:sz w:val="14"/>
                <w:szCs w:val="14"/>
              </w:rPr>
              <w:t>Объем после утряски</w:t>
            </w:r>
          </w:p>
        </w:tc>
        <w:tc>
          <w:tcPr>
            <w:tcW w:w="2352" w:type="dxa"/>
            <w:tcBorders/>
            <w:shd w:fill="auto" w:val="clear"/>
          </w:tcPr>
          <w:p>
            <w:pPr>
              <w:pStyle w:val="Normal"/>
              <w:spacing w:before="0" w:after="200"/>
              <w:rPr>
                <w:rFonts w:ascii="Arial" w:hAnsi="Arial" w:cs="Arial"/>
                <w:sz w:val="20"/>
              </w:rPr>
            </w:pPr>
            <w:r>
              <w:rPr>
                <w:rFonts w:cs="Arial" w:ascii="Arial" w:hAnsi="Arial"/>
                <w:sz w:val="14"/>
                <w:szCs w:val="14"/>
              </w:rPr>
              <w:t>см3</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ρ∞</w:t>
            </w:r>
          </w:p>
        </w:tc>
        <w:tc>
          <w:tcPr>
            <w:tcW w:w="5754" w:type="dxa"/>
            <w:tcBorders/>
            <w:shd w:fill="auto" w:val="clear"/>
          </w:tcPr>
          <w:p>
            <w:pPr>
              <w:pStyle w:val="Normal"/>
              <w:spacing w:before="0" w:after="200"/>
              <w:rPr>
                <w:rFonts w:ascii="Arial" w:hAnsi="Arial" w:cs="Arial"/>
                <w:sz w:val="20"/>
              </w:rPr>
            </w:pPr>
            <w:r>
              <w:rPr>
                <w:rFonts w:cs="Arial" w:ascii="Arial" w:hAnsi="Arial"/>
                <w:sz w:val="14"/>
                <w:szCs w:val="14"/>
              </w:rPr>
              <w:t>Насыпная плотность</w:t>
            </w:r>
          </w:p>
        </w:tc>
        <w:tc>
          <w:tcPr>
            <w:tcW w:w="2352" w:type="dxa"/>
            <w:tcBorders/>
            <w:shd w:fill="auto" w:val="clear"/>
          </w:tcPr>
          <w:p>
            <w:pPr>
              <w:pStyle w:val="Normal"/>
              <w:spacing w:before="0" w:after="200"/>
              <w:rPr>
                <w:rFonts w:ascii="Arial" w:hAnsi="Arial" w:cs="Arial"/>
                <w:sz w:val="20"/>
              </w:rPr>
            </w:pPr>
            <w:r>
              <w:rPr>
                <w:rFonts w:cs="Arial" w:ascii="Arial" w:hAnsi="Arial"/>
                <w:sz w:val="14"/>
                <w:szCs w:val="14"/>
              </w:rPr>
              <w:t>г/см3</w:t>
            </w:r>
          </w:p>
        </w:tc>
      </w:tr>
      <w:tr>
        <w:trPr/>
        <w:tc>
          <w:tcPr>
            <w:tcW w:w="1521" w:type="dxa"/>
            <w:tcBorders/>
            <w:shd w:fill="auto" w:val="clear"/>
          </w:tcPr>
          <w:p>
            <w:pPr>
              <w:pStyle w:val="Normal"/>
              <w:widowControl w:val="false"/>
              <w:spacing w:before="0" w:after="200"/>
              <w:jc w:val="both"/>
              <w:rPr>
                <w:rFonts w:ascii="Arial" w:hAnsi="Arial" w:cs="Arial"/>
                <w:sz w:val="20"/>
              </w:rPr>
            </w:pPr>
            <w:r>
              <w:rPr>
                <w:rFonts w:cs="Arial" w:ascii="Arial" w:hAnsi="Arial"/>
                <w:sz w:val="14"/>
                <w:szCs w:val="14"/>
              </w:rPr>
              <w:t>ρ0</w:t>
            </w:r>
          </w:p>
        </w:tc>
        <w:tc>
          <w:tcPr>
            <w:tcW w:w="5754" w:type="dxa"/>
            <w:tcBorders/>
            <w:shd w:fill="auto" w:val="clear"/>
          </w:tcPr>
          <w:p>
            <w:pPr>
              <w:pStyle w:val="Normal"/>
              <w:spacing w:before="0" w:after="200"/>
              <w:rPr>
                <w:rFonts w:ascii="Arial" w:hAnsi="Arial" w:cs="Arial"/>
                <w:sz w:val="20"/>
              </w:rPr>
            </w:pPr>
            <w:r>
              <w:rPr>
                <w:rFonts w:cs="Arial" w:ascii="Arial" w:hAnsi="Arial"/>
                <w:sz w:val="14"/>
                <w:szCs w:val="14"/>
              </w:rPr>
              <w:t>Плотность после утряски</w:t>
            </w:r>
          </w:p>
        </w:tc>
        <w:tc>
          <w:tcPr>
            <w:tcW w:w="2352" w:type="dxa"/>
            <w:tcBorders/>
            <w:shd w:fill="auto" w:val="clear"/>
          </w:tcPr>
          <w:p>
            <w:pPr>
              <w:pStyle w:val="Normal"/>
              <w:spacing w:before="0" w:after="200"/>
              <w:rPr>
                <w:rFonts w:ascii="Arial" w:hAnsi="Arial" w:cs="Arial"/>
                <w:sz w:val="20"/>
              </w:rPr>
            </w:pPr>
            <w:r>
              <w:rPr>
                <w:rFonts w:cs="Arial" w:ascii="Arial" w:hAnsi="Arial"/>
                <w:sz w:val="14"/>
                <w:szCs w:val="14"/>
              </w:rPr>
              <w:t>г/см3</w:t>
            </w:r>
          </w:p>
        </w:tc>
      </w:tr>
    </w:tbl>
    <w:p>
      <w:pPr>
        <w:pStyle w:val="Normal"/>
        <w:tabs>
          <w:tab w:val="left" w:pos="709" w:leader="none"/>
        </w:tabs>
        <w:spacing w:lineRule="auto" w:line="360" w:before="120" w:after="0"/>
        <w:ind w:firstLine="851"/>
        <w:rPr>
          <w:rFonts w:ascii="Arial" w:hAnsi="Arial" w:cs="Arial"/>
          <w:b/>
          <w:b/>
        </w:rPr>
      </w:pPr>
      <w:r>
        <w:rPr>
          <w:rFonts w:cs="Arial" w:ascii="Arial" w:hAnsi="Arial"/>
          <w:b/>
          <w:sz w:val="14"/>
          <w:szCs w:val="14"/>
        </w:rPr>
        <w:t xml:space="preserve">ДА.2 </w:t>
      </w:r>
    </w:p>
    <w:p>
      <w:pPr>
        <w:pStyle w:val="1ZagL1"/>
        <w:keepNext w:val="true"/>
        <w:tabs>
          <w:tab w:val="clear" w:pos="709"/>
          <w:tab w:val="left" w:pos="426" w:leader="none"/>
        </w:tabs>
        <w:spacing w:lineRule="auto" w:line="360" w:before="0" w:after="0"/>
        <w:ind w:firstLine="709"/>
        <w:rPr>
          <w:sz w:val="22"/>
          <w:szCs w:val="22"/>
        </w:rPr>
      </w:pPr>
      <w:r>
        <w:rPr>
          <w:sz w:val="14"/>
          <w:szCs w:val="14"/>
        </w:rPr>
        <w:t>5. Характеристики МПК</w:t>
      </w:r>
    </w:p>
    <w:p>
      <w:pPr>
        <w:pStyle w:val="1OsnAbz"/>
        <w:spacing w:lineRule="auto" w:line="360" w:before="0" w:after="0"/>
        <w:ind w:firstLine="709"/>
        <w:rPr>
          <w:b/>
          <w:b/>
          <w:color w:val="auto"/>
          <w:sz w:val="22"/>
          <w:szCs w:val="22"/>
          <w:lang w:eastAsia="ja-JP"/>
        </w:rPr>
      </w:pPr>
      <w:r>
        <w:rPr>
          <w:b/>
          <w:color w:val="auto"/>
          <w:sz w:val="14"/>
          <w:szCs w:val="14"/>
          <w:lang w:eastAsia="ja-JP"/>
        </w:rPr>
        <w:t xml:space="preserve">5.1 Общие положения </w:t>
      </w:r>
    </w:p>
    <w:p>
      <w:pPr>
        <w:pStyle w:val="1OsnAbz"/>
        <w:spacing w:lineRule="auto" w:line="360" w:before="0" w:after="0"/>
        <w:ind w:firstLine="709"/>
        <w:rPr>
          <w:sz w:val="22"/>
          <w:szCs w:val="22"/>
        </w:rPr>
      </w:pPr>
      <w:r>
        <w:rPr>
          <w:sz w:val="14"/>
          <w:szCs w:val="14"/>
        </w:rPr>
        <w:t>Характеристики МПК имеют решающее значение для обеспечения технологического процесса и обеспечения соответствия синтезированного материала конечного изделия установленным требованиям. Для обеспечения повторяемости процесса, а также соответствия характеристик производимой продукции установленным требования требуется измерение и контроль определенных свойств МПК при приемке и повторном использовании сырья.</w:t>
      </w:r>
    </w:p>
    <w:p>
      <w:pPr>
        <w:pStyle w:val="1OsnAbz"/>
        <w:spacing w:lineRule="auto" w:line="360" w:before="0" w:after="0"/>
        <w:ind w:firstLine="709"/>
        <w:rPr>
          <w:sz w:val="22"/>
          <w:szCs w:val="22"/>
        </w:rPr>
      </w:pPr>
      <w:r>
        <w:rPr>
          <w:sz w:val="14"/>
          <w:szCs w:val="14"/>
        </w:rPr>
        <w:t>Следующие подразделы содержат дополнительную информацию об этих характеристиках и их влиянии на процесс АП и характеристики конечной продукции, в том числе информацию о методах их определения.</w:t>
      </w:r>
    </w:p>
    <w:p>
      <w:pPr>
        <w:pStyle w:val="1OsnAbz"/>
        <w:spacing w:lineRule="auto" w:line="360" w:before="0" w:after="0"/>
        <w:ind w:firstLine="709"/>
        <w:rPr>
          <w:sz w:val="22"/>
          <w:szCs w:val="22"/>
        </w:rPr>
      </w:pPr>
      <w:r>
        <w:rPr>
          <w:sz w:val="14"/>
          <w:szCs w:val="14"/>
        </w:rPr>
        <w:t xml:space="preserve">Для всех характеристик, рассматриваемых в следующих подразделах, значения должны определяться путем испытаний репрезентативной пробы МПК, полученной при разделении представительной пробы. Подробная информация о методах отбора проб приведена в разделе 7.2. </w:t>
      </w:r>
    </w:p>
    <w:p>
      <w:pPr>
        <w:pStyle w:val="1OsnAbz"/>
        <w:spacing w:lineRule="auto" w:line="360" w:before="0" w:after="0"/>
        <w:ind w:firstLine="709"/>
        <w:rPr>
          <w:sz w:val="22"/>
          <w:szCs w:val="22"/>
        </w:rPr>
      </w:pPr>
      <w:r>
        <w:rPr>
          <w:sz w:val="14"/>
          <w:szCs w:val="14"/>
        </w:rPr>
        <w:t>Для исключения перекрестного загрязнения пробы перед отбором пробы должны быть выполнены процедуры очистки оборудования.</w:t>
      </w:r>
    </w:p>
    <w:p>
      <w:pPr>
        <w:pStyle w:val="1OsnAbz"/>
        <w:keepNext w:val="true"/>
        <w:spacing w:lineRule="auto" w:line="360" w:before="0" w:after="0"/>
        <w:ind w:firstLine="709"/>
        <w:rPr>
          <w:sz w:val="22"/>
          <w:szCs w:val="22"/>
        </w:rPr>
      </w:pPr>
      <w:r>
        <w:rPr>
          <w:b/>
          <w:sz w:val="14"/>
          <w:szCs w:val="14"/>
        </w:rPr>
        <w:t>5.2 Гранулометрический состав</w:t>
      </w:r>
    </w:p>
    <w:p>
      <w:pPr>
        <w:pStyle w:val="Normal"/>
        <w:widowControl w:val="false"/>
        <w:spacing w:lineRule="auto" w:line="360" w:before="0" w:after="0"/>
        <w:ind w:firstLine="709"/>
        <w:jc w:val="both"/>
        <w:rPr>
          <w:rFonts w:ascii="Arial" w:hAnsi="Arial" w:cs="Arial"/>
        </w:rPr>
      </w:pPr>
      <w:r>
        <w:rPr>
          <w:rFonts w:cs="Arial" w:ascii="Arial" w:hAnsi="Arial"/>
          <w:sz w:val="14"/>
          <w:szCs w:val="14"/>
        </w:rPr>
        <w:t>5.2.1 Общие положения</w:t>
      </w:r>
    </w:p>
    <w:p>
      <w:pPr>
        <w:pStyle w:val="Normal"/>
        <w:widowControl w:val="false"/>
        <w:spacing w:lineRule="auto" w:line="360" w:before="0" w:after="0"/>
        <w:ind w:firstLine="709"/>
        <w:jc w:val="both"/>
        <w:rPr>
          <w:rFonts w:ascii="Arial" w:hAnsi="Arial" w:cs="Arial"/>
        </w:rPr>
      </w:pPr>
      <w:r>
        <w:rPr>
          <w:rFonts w:cs="Arial" w:ascii="Arial" w:hAnsi="Arial"/>
          <w:sz w:val="14"/>
          <w:szCs w:val="14"/>
        </w:rPr>
        <w:t>Гранулометрический состав МПК представляет собой набор определенных значений или математическую функцию, которая описывает процентное количество частиц (как правило по массе или количеству) с размером, лежащим в соответствующем диапазоне.</w:t>
      </w:r>
    </w:p>
    <w:p>
      <w:pPr>
        <w:pStyle w:val="Normal"/>
        <w:widowControl w:val="false"/>
        <w:spacing w:lineRule="auto" w:line="360" w:before="0" w:after="0"/>
        <w:ind w:firstLine="709"/>
        <w:jc w:val="both"/>
        <w:rPr>
          <w:rFonts w:ascii="Arial" w:hAnsi="Arial" w:cs="Arial"/>
        </w:rPr>
      </w:pPr>
      <w:r>
        <w:rPr>
          <w:rFonts w:cs="Arial" w:ascii="Arial" w:hAnsi="Arial"/>
          <w:sz w:val="14"/>
          <w:szCs w:val="14"/>
        </w:rPr>
        <w:t>Во время построения в установках АП распределение частиц по размерам обычно смещается к более высоким (более крупным) значениям, поскольку мелкие частицы, как правило, уносятся потоком инертного газа и собираются в фильтрах сверхтонкой очистки, частицы сплавляются вместе, образуя более крупные частицы, а реакции с окружающими газами приводят к образованию поверхностных слоев на частицах., что увеличивает их объем и массу.</w:t>
      </w:r>
    </w:p>
    <w:p>
      <w:pPr>
        <w:pStyle w:val="Normal"/>
        <w:widowControl w:val="false"/>
        <w:spacing w:lineRule="auto" w:line="360" w:before="0" w:after="0"/>
        <w:ind w:firstLine="709"/>
        <w:jc w:val="both"/>
        <w:rPr>
          <w:rFonts w:ascii="Arial" w:hAnsi="Arial" w:cs="Arial"/>
        </w:rPr>
      </w:pPr>
      <w:r>
        <w:rPr>
          <w:rFonts w:cs="Arial" w:ascii="Arial" w:hAnsi="Arial"/>
          <w:sz w:val="14"/>
          <w:szCs w:val="14"/>
        </w:rPr>
        <w:t>На технологические характеристики (например, текучесть, свойства формирования слоя) определенной МПК влияют ширина, медиана, а также нижний и верхний пределы распределения частиц по размерам. Партии МПК с разработанным гранулометрическим составом могут содержать бимодальное или мультимодальное распределение (см. рисунок ДА.1) с изменениями, основанными на отклонениях от нормального распределения частиц по размерам.</w:t>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661"/>
        <w:gridCol w:w="4975"/>
      </w:tblGrid>
      <w:tr>
        <w:trPr/>
        <w:tc>
          <w:tcPr>
            <w:tcW w:w="9636" w:type="dxa"/>
            <w:gridSpan w:val="2"/>
            <w:tcBorders/>
            <w:shd w:fill="auto" w:val="clear"/>
          </w:tcPr>
          <w:p>
            <w:pPr>
              <w:pStyle w:val="Normal"/>
              <w:widowControl w:val="false"/>
              <w:spacing w:before="0" w:after="200"/>
              <w:jc w:val="both"/>
              <w:rPr>
                <w:rFonts w:ascii="Arial" w:hAnsi="Arial" w:cs="Arial"/>
                <w:b/>
                <w:b/>
                <w:sz w:val="20"/>
                <w:szCs w:val="20"/>
              </w:rPr>
            </w:pPr>
            <w:r>
              <w:rPr>
                <w:sz w:val="14"/>
                <w:szCs w:val="14"/>
              </w:rPr>
              <w:drawing>
                <wp:inline distT="0" distB="0" distL="0" distR="0">
                  <wp:extent cx="6151880" cy="2143125"/>
                  <wp:effectExtent l="0" t="0" r="0" b="0"/>
                  <wp:docPr id="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
                          <pic:cNvPicPr>
                            <a:picLocks noChangeAspect="1" noChangeArrowheads="1"/>
                          </pic:cNvPicPr>
                        </pic:nvPicPr>
                        <pic:blipFill>
                          <a:blip r:embed="rId10"/>
                          <a:stretch>
                            <a:fillRect/>
                          </a:stretch>
                        </pic:blipFill>
                        <pic:spPr bwMode="auto">
                          <a:xfrm>
                            <a:off x="0" y="0"/>
                            <a:ext cx="6151880" cy="2143125"/>
                          </a:xfrm>
                          <a:prstGeom prst="rect">
                            <a:avLst/>
                          </a:prstGeom>
                        </pic:spPr>
                      </pic:pic>
                    </a:graphicData>
                  </a:graphic>
                </wp:inline>
              </w:drawing>
            </w:r>
          </w:p>
        </w:tc>
      </w:tr>
      <w:tr>
        <w:trPr/>
        <w:tc>
          <w:tcPr>
            <w:tcW w:w="4661" w:type="dxa"/>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 xml:space="preserve">a) </w:t>
            </w:r>
            <w:r>
              <w:rPr>
                <w:rFonts w:cs="Arial" w:ascii="Arial" w:hAnsi="Arial"/>
                <w:sz w:val="14"/>
                <w:szCs w:val="14"/>
              </w:rPr>
              <w:t>бимодальное распределение</w:t>
            </w:r>
          </w:p>
        </w:tc>
        <w:tc>
          <w:tcPr>
            <w:tcW w:w="4975" w:type="dxa"/>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 xml:space="preserve">b) </w:t>
            </w:r>
            <w:r>
              <w:rPr>
                <w:rFonts w:cs="Arial" w:ascii="Arial" w:hAnsi="Arial"/>
                <w:sz w:val="14"/>
                <w:szCs w:val="14"/>
              </w:rPr>
              <w:t>мультимодальное распределение</w:t>
            </w:r>
          </w:p>
        </w:tc>
      </w:tr>
      <w:tr>
        <w:trPr/>
        <w:tc>
          <w:tcPr>
            <w:tcW w:w="9636" w:type="dxa"/>
            <w:gridSpan w:val="2"/>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 xml:space="preserve">X </w:t>
            </w:r>
            <w:r>
              <w:rPr>
                <w:rFonts w:cs="Arial" w:ascii="Arial" w:hAnsi="Arial"/>
                <w:sz w:val="14"/>
                <w:szCs w:val="14"/>
              </w:rPr>
              <w:t>размер частиц / мкм</w:t>
            </w:r>
          </w:p>
        </w:tc>
      </w:tr>
    </w:tbl>
    <w:p>
      <w:pPr>
        <w:pStyle w:val="Normal"/>
        <w:widowControl w:val="false"/>
        <w:jc w:val="center"/>
        <w:rPr>
          <w:rFonts w:ascii="Arial" w:hAnsi="Arial" w:cs="Arial"/>
        </w:rPr>
      </w:pPr>
      <w:r>
        <w:rPr>
          <w:rFonts w:cs="Arial" w:ascii="Arial" w:hAnsi="Arial"/>
          <w:sz w:val="14"/>
          <w:szCs w:val="14"/>
        </w:rPr>
        <w:t>Рисунок ДА.1 – Диаграммы распределения размера частиц</w:t>
      </w:r>
    </w:p>
    <w:p>
      <w:pPr>
        <w:pStyle w:val="Normal"/>
        <w:keepLines/>
        <w:widowControl w:val="false"/>
        <w:spacing w:lineRule="auto" w:line="360" w:before="0" w:after="0"/>
        <w:ind w:firstLine="709"/>
        <w:jc w:val="both"/>
        <w:rPr>
          <w:rFonts w:ascii="Arial" w:hAnsi="Arial" w:cs="Arial"/>
        </w:rPr>
      </w:pPr>
      <w:r>
        <w:rPr>
          <w:rFonts w:cs="Arial" w:ascii="Arial" w:hAnsi="Arial"/>
          <w:sz w:val="14"/>
          <w:szCs w:val="14"/>
        </w:rPr>
        <w:t>Гранулометрический состав оказывает непосредственное влияние на технологические свойства МПК. Изменение распределения, приводящее к увеличению доли мелких или крупных частиц, оказывает влияние на характеристики текучести и способность формировать слой, в случае установок синтеза на подложке. Гранулометрический состав также влияет на плотность слоя МПК и, следовательно, на его свойства поглощения и распределения энергии.</w:t>
      </w:r>
    </w:p>
    <w:p>
      <w:pPr>
        <w:pStyle w:val="Normal"/>
        <w:widowControl w:val="false"/>
        <w:spacing w:lineRule="auto" w:line="360" w:before="0" w:after="0"/>
        <w:ind w:firstLine="709"/>
        <w:jc w:val="both"/>
        <w:rPr>
          <w:rFonts w:ascii="Arial" w:hAnsi="Arial" w:cs="Arial"/>
        </w:rPr>
      </w:pPr>
      <w:r>
        <w:rPr>
          <w:rFonts w:cs="Arial" w:ascii="Arial" w:hAnsi="Arial"/>
          <w:sz w:val="14"/>
          <w:szCs w:val="14"/>
        </w:rPr>
        <w:t>Для определения гранулометрического состава МПК могут быть использованы методы, приведенные далее. Методы, приведенные ближе к концу, в основном требуют большей аналитической работы.</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rPr>
      </w:pPr>
      <w:r>
        <w:rPr>
          <w:rFonts w:cs="Arial" w:ascii="Arial" w:hAnsi="Arial"/>
          <w:spacing w:val="40"/>
          <w:sz w:val="14"/>
          <w:szCs w:val="14"/>
        </w:rPr>
        <w:t>Примечание</w:t>
      </w:r>
      <w:r>
        <w:rPr>
          <w:rFonts w:cs="Arial" w:ascii="Arial" w:hAnsi="Arial"/>
          <w:sz w:val="14"/>
          <w:szCs w:val="14"/>
        </w:rPr>
        <w:t xml:space="preserve"> – Результаты, полученные с помощью различных методов, как правило, не могут быть непосредственно сопоставлены.</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5.2.2 Динамический анализ изображения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Динамический анализ изображений в соответствии со стандартом ISO 13322-2 представляет собой метод определения гранулометрического состава МПК путем оптического анализа их теневых проекций. Получая изображение частицы, можно рассчитать различные параметры размера и формы частиц, такие как диаметр, максимальная длина, округлость или минимальная ширина. Во время анализа при каждом отдельном измерении относит частицу к определенному классу частиц в соответствии с её размером. Верхний и нижний пределы диапазона измерений определяются разрешением камеры и увеличением.</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rPr>
      </w:pPr>
      <w:r>
        <w:rPr>
          <w:rFonts w:cs="Arial" w:ascii="Arial" w:hAnsi="Arial"/>
          <w:spacing w:val="20"/>
          <w:sz w:val="14"/>
          <w:szCs w:val="14"/>
        </w:rPr>
        <w:t>Примечание</w:t>
      </w:r>
      <w:r>
        <w:rPr>
          <w:rFonts w:cs="Arial" w:ascii="Arial" w:hAnsi="Arial"/>
          <w:sz w:val="14"/>
          <w:szCs w:val="14"/>
        </w:rPr>
        <w:t xml:space="preserve"> — Результаты динамического анализа изображений в значительной степени зависят от параметров измерения и настроек алгоритмов оценки. Следовательно, при использовании измерительных систем разных производителей могут быть получены существенно отличающиеся результаты. </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Следует иметь в виду, что результаты могут быть представлены как в объемных процентах, так и в процентах по количеству частиц.</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szCs w:val="20"/>
        </w:rPr>
      </w:pPr>
      <w:r>
        <w:rPr>
          <w:rFonts w:cs="Arial" w:ascii="Arial" w:hAnsi="Arial"/>
          <w:spacing w:val="20"/>
          <w:sz w:val="14"/>
          <w:szCs w:val="14"/>
        </w:rPr>
        <w:t>Примечание</w:t>
      </w:r>
      <w:r>
        <w:rPr>
          <w:rFonts w:cs="Arial" w:ascii="Arial" w:hAnsi="Arial"/>
          <w:sz w:val="14"/>
          <w:szCs w:val="14"/>
        </w:rPr>
        <w:t xml:space="preserve"> — С помощью аналитических систем динамического анализа изображения часто имеется возможность анализировать распределение частиц как по размерам, так и по форме частиц одновременно, что позволяет проводить корреляции между морфологией и размером частиц.</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5.2.3 Лазерная дифракция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В методе лазерной дифракции в соответствии со стандартом ISO 13320 или ASTM B 822 вычисляют размер частиц путем измерения рассеяния света (угол, интенсивность) при прохождении лазерного луча через распределенный образец МПК. При использовании лазерной дифракции следует учитывать, что распределение частиц по размерам может быть представлено как в объемных процентах, так и в процентах по количеству частиц. Этот метод используется для частиц размером от 0,1 мкм до 3 мм и очень подходит для сравнительных измерений. Например, при испытании частиц МПК неправильной формы полученное распределение частиц по размерам соответствует характеристикам рассеяния света сферическими частицами. Следовательно, результаты могут отличаться от результатов, полученных при сухом просеивании или осаждении.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rPr>
      </w:pPr>
      <w:r>
        <w:rPr>
          <w:rFonts w:cs="Arial" w:ascii="Arial" w:hAnsi="Arial"/>
          <w:spacing w:val="40"/>
          <w:sz w:val="14"/>
          <w:szCs w:val="14"/>
        </w:rPr>
        <w:t>Примечание</w:t>
      </w:r>
      <w:r>
        <w:rPr>
          <w:rFonts w:cs="Arial" w:ascii="Arial" w:hAnsi="Arial"/>
          <w:sz w:val="14"/>
          <w:szCs w:val="14"/>
        </w:rPr>
        <w:t xml:space="preserve"> – Результаты лазерной дифракции в значительной степени зависят от параметров измерения и настроек алгоритмов оценки. Следовательно, при использовании измерительных систем разных производителей могут быть получены существенно отличающиеся результаты.</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Следует иметь в виду, что результаты могут быть представлены в объемных процентах, так и в процентах по количеству частиц.</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5.2.4 Сухой просев</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Сухое просеивание в соответствии со стандартами ISO 4497 и ASTM B214 подходит только для МПК, не содержащих связующих или вспомогательных материалов. В соответствии с ISO 4497 не рекомендуется использовать сухой просев для частиц МПК неправильной формы или МПК, в которых все или большинство частиц имеют размер зерен менее 45 мкм.</w:t>
      </w:r>
    </w:p>
    <w:p>
      <w:pPr>
        <w:pStyle w:val="Normal"/>
        <w:widowControl w:val="false"/>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5.2.5 Анализ изображений, полученных с помощью световой или сканирующей электронной микроскопии (</w:t>
      </w:r>
      <w:r>
        <w:rPr>
          <w:rFonts w:cs="Arial" w:ascii="Arial" w:hAnsi="Arial"/>
          <w:b/>
          <w:sz w:val="14"/>
          <w:szCs w:val="14"/>
          <w:lang w:val="en-US"/>
        </w:rPr>
        <w:t>SEM</w:t>
      </w:r>
      <w:r>
        <w:rPr>
          <w:rFonts w:cs="Arial" w:ascii="Arial" w:hAnsi="Arial"/>
          <w:b/>
          <w:sz w:val="14"/>
          <w:szCs w:val="14"/>
        </w:rPr>
        <w:t>)</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Анализ изображений, полученных с помощью световой или сканирующей электронной микроскопии, уже используется в промышленности и научных исследованиях и может быть одновременно применен для анализа морфологии частиц (см. 5.7).</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rPr>
      </w:pPr>
      <w:r>
        <w:rPr>
          <w:rFonts w:cs="Arial" w:ascii="Arial" w:hAnsi="Arial"/>
          <w:sz w:val="14"/>
          <w:szCs w:val="14"/>
        </w:rPr>
        <w:t>Примечание – Количество частиц, попавших в кадр и впоследствии проанализированных программным обеспечением для обработки изображений, ограничено, и может не быть репрезентативным для всего объема МПК.</w:t>
      </w:r>
    </w:p>
    <w:p>
      <w:pPr>
        <w:pStyle w:val="Normal"/>
        <w:widowControl w:val="false"/>
        <w:spacing w:lineRule="auto" w:line="360" w:before="0" w:after="0"/>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b/>
          <w:b/>
        </w:rPr>
      </w:pPr>
      <w:r>
        <w:rPr>
          <w:rFonts w:cs="Arial" w:ascii="Arial" w:hAnsi="Arial"/>
          <w:b/>
          <w:sz w:val="14"/>
          <w:szCs w:val="14"/>
        </w:rPr>
        <w:t>5.3 Химический состав</w:t>
      </w:r>
    </w:p>
    <w:p>
      <w:pPr>
        <w:pStyle w:val="Normal"/>
        <w:keepNext w:val="true"/>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keepNext w:val="true"/>
        <w:spacing w:lineRule="auto" w:line="360" w:before="0" w:after="0"/>
        <w:ind w:firstLine="709"/>
        <w:jc w:val="both"/>
        <w:rPr>
          <w:rFonts w:ascii="Arial" w:hAnsi="Arial" w:cs="Arial"/>
          <w:b/>
          <w:b/>
        </w:rPr>
      </w:pPr>
      <w:r>
        <w:rPr>
          <w:rFonts w:cs="Arial" w:ascii="Arial" w:hAnsi="Arial"/>
          <w:b/>
          <w:sz w:val="14"/>
          <w:szCs w:val="14"/>
        </w:rPr>
        <w:t>5.3.1 Общие положения</w:t>
      </w:r>
    </w:p>
    <w:p>
      <w:pPr>
        <w:pStyle w:val="Normal"/>
        <w:keepNext w:val="tru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Химический состав показывает относительное количество элементов, составляющих МПК или другой сыпучий материал. Значения приведены либо в атомных процентах (at%), либо в процентах массы (wt%). Свойства материала напрямую связаны с химическим составом.</w:t>
      </w:r>
    </w:p>
    <w:p>
      <w:pPr>
        <w:pStyle w:val="Normal"/>
        <w:widowControl w:val="false"/>
        <w:spacing w:lineRule="auto" w:line="360" w:before="0" w:after="0"/>
        <w:ind w:firstLine="709"/>
        <w:jc w:val="both"/>
        <w:rPr>
          <w:rFonts w:ascii="Arial" w:hAnsi="Arial" w:cs="Arial"/>
        </w:rPr>
      </w:pPr>
      <w:r>
        <w:rPr>
          <w:rFonts w:cs="Arial" w:ascii="Arial" w:hAnsi="Arial"/>
          <w:sz w:val="14"/>
          <w:szCs w:val="14"/>
        </w:rPr>
        <w:t>В производственной практике химический состав исходного МПК подвержен изменениям из-за явлений, связанных с технологическим процессом, таких как избирательное испарение отдельных элементов сплава, реакции с окружающими газами (например, кислородом, азотом) и/или поглощение сварочных паров и брызг (см. рис. 2).</w:t>
      </w:r>
    </w:p>
    <w:p>
      <w:pPr>
        <w:pStyle w:val="Normal"/>
        <w:widowControl w:val="false"/>
        <w:spacing w:lineRule="auto" w:line="360" w:before="0" w:after="0"/>
        <w:jc w:val="both"/>
        <w:rPr>
          <w:rFonts w:ascii="Arial" w:hAnsi="Arial" w:cs="Arial"/>
          <w:sz w:val="14"/>
          <w:szCs w:val="14"/>
        </w:rPr>
      </w:pPr>
      <w:r>
        <w:rPr>
          <w:rFonts w:cs="Arial" w:ascii="Arial" w:hAnsi="Arial"/>
          <w:sz w:val="14"/>
          <w:szCs w:val="14"/>
        </w:rPr>
      </w:r>
    </w:p>
    <w:p>
      <w:pPr>
        <w:pStyle w:val="Normal"/>
        <w:widowControl w:val="false"/>
        <w:jc w:val="both"/>
        <w:rPr>
          <w:rFonts w:ascii="Arial" w:hAnsi="Arial" w:cs="Arial"/>
          <w:sz w:val="20"/>
          <w:szCs w:val="20"/>
        </w:rPr>
      </w:pPr>
      <w:r>
        <w:rPr>
          <w:sz w:val="14"/>
          <w:szCs w:val="14"/>
        </w:rPr>
        <w:drawing>
          <wp:inline distT="0" distB="0" distL="0" distR="0">
            <wp:extent cx="6191885" cy="4351020"/>
            <wp:effectExtent l="0" t="0" r="0" b="0"/>
            <wp:docPr id="7"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
                    <pic:cNvPicPr>
                      <a:picLocks noChangeAspect="1" noChangeArrowheads="1"/>
                    </pic:cNvPicPr>
                  </pic:nvPicPr>
                  <pic:blipFill>
                    <a:blip r:embed="rId11"/>
                    <a:stretch>
                      <a:fillRect/>
                    </a:stretch>
                  </pic:blipFill>
                  <pic:spPr bwMode="auto">
                    <a:xfrm>
                      <a:off x="0" y="0"/>
                      <a:ext cx="6191885" cy="4351020"/>
                    </a:xfrm>
                    <a:prstGeom prst="rect">
                      <a:avLst/>
                    </a:prstGeom>
                  </pic:spPr>
                </pic:pic>
              </a:graphicData>
            </a:graphic>
          </wp:inline>
        </w:drawing>
      </w:r>
    </w:p>
    <w:p>
      <w:pPr>
        <w:pStyle w:val="Normal"/>
        <w:widowControl w:val="false"/>
        <w:jc w:val="both"/>
        <w:rPr>
          <w:rFonts w:ascii="Arial" w:hAnsi="Arial" w:cs="Arial"/>
          <w:sz w:val="20"/>
          <w:szCs w:val="20"/>
        </w:rPr>
      </w:pPr>
      <w:r>
        <w:rPr>
          <w:rFonts w:cs="Arial" w:ascii="Arial" w:hAnsi="Arial"/>
          <w:i/>
          <w:sz w:val="14"/>
          <w:szCs w:val="14"/>
        </w:rPr>
        <w:t>1</w:t>
      </w:r>
      <w:r>
        <w:rPr>
          <w:rFonts w:cs="Arial" w:ascii="Arial" w:hAnsi="Arial"/>
          <w:sz w:val="14"/>
          <w:szCs w:val="14"/>
        </w:rPr>
        <w:t xml:space="preserve"> — луч лазера, </w:t>
      </w:r>
      <w:r>
        <w:rPr>
          <w:rFonts w:cs="Arial" w:ascii="Arial" w:hAnsi="Arial"/>
          <w:i/>
          <w:sz w:val="14"/>
          <w:szCs w:val="14"/>
        </w:rPr>
        <w:t>2</w:t>
      </w:r>
      <w:r>
        <w:rPr>
          <w:rFonts w:cs="Arial" w:ascii="Arial" w:hAnsi="Arial"/>
          <w:sz w:val="14"/>
          <w:szCs w:val="14"/>
        </w:rPr>
        <w:t xml:space="preserve"> — поток аргона, </w:t>
      </w:r>
      <w:r>
        <w:rPr>
          <w:rFonts w:cs="Arial" w:ascii="Arial" w:hAnsi="Arial"/>
          <w:i/>
          <w:sz w:val="14"/>
          <w:szCs w:val="14"/>
        </w:rPr>
        <w:t>3</w:t>
      </w:r>
      <w:r>
        <w:rPr>
          <w:rFonts w:cs="Arial" w:ascii="Arial" w:hAnsi="Arial"/>
          <w:sz w:val="14"/>
          <w:szCs w:val="14"/>
        </w:rPr>
        <w:t xml:space="preserve"> — порошковая подложка, </w:t>
      </w:r>
      <w:r>
        <w:rPr>
          <w:rFonts w:cs="Arial" w:ascii="Arial" w:hAnsi="Arial"/>
          <w:i/>
          <w:sz w:val="14"/>
          <w:szCs w:val="14"/>
        </w:rPr>
        <w:t>4</w:t>
      </w:r>
      <w:r>
        <w:rPr>
          <w:rFonts w:cs="Arial" w:ascii="Arial" w:hAnsi="Arial"/>
          <w:sz w:val="14"/>
          <w:szCs w:val="14"/>
        </w:rPr>
        <w:t xml:space="preserve">— синтезированный материал, </w:t>
      </w:r>
      <w:r>
        <w:rPr>
          <w:rFonts w:cs="Arial" w:ascii="Arial" w:hAnsi="Arial"/>
          <w:i/>
          <w:sz w:val="14"/>
          <w:szCs w:val="14"/>
        </w:rPr>
        <w:t>5</w:t>
      </w:r>
      <w:r>
        <w:rPr>
          <w:rFonts w:cs="Arial" w:ascii="Arial" w:hAnsi="Arial"/>
          <w:sz w:val="14"/>
          <w:szCs w:val="14"/>
        </w:rPr>
        <w:t xml:space="preserve">— ванна расплава, </w:t>
      </w:r>
      <w:r>
        <w:rPr>
          <w:rFonts w:cs="Arial" w:ascii="Arial" w:hAnsi="Arial"/>
          <w:i/>
          <w:sz w:val="14"/>
          <w:szCs w:val="14"/>
        </w:rPr>
        <w:t>6</w:t>
      </w:r>
      <w:r>
        <w:rPr>
          <w:rFonts w:cs="Arial" w:ascii="Arial" w:hAnsi="Arial"/>
          <w:sz w:val="14"/>
          <w:szCs w:val="14"/>
        </w:rPr>
        <w:t xml:space="preserve">— брызги, </w:t>
      </w:r>
      <w:r>
        <w:rPr>
          <w:rFonts w:cs="Arial" w:ascii="Arial" w:hAnsi="Arial"/>
          <w:i/>
          <w:sz w:val="14"/>
          <w:szCs w:val="14"/>
          <w:lang w:val="en-US"/>
        </w:rPr>
        <w:t>a</w:t>
      </w:r>
      <w:r>
        <w:rPr>
          <w:rFonts w:cs="Arial" w:ascii="Arial" w:hAnsi="Arial"/>
          <w:sz w:val="14"/>
          <w:szCs w:val="14"/>
        </w:rPr>
        <w:t xml:space="preserve"> — брызги реагируют с </w:t>
      </w:r>
      <w:r>
        <w:rPr>
          <w:rFonts w:cs="Arial" w:ascii="Arial" w:hAnsi="Arial"/>
          <w:sz w:val="14"/>
          <w:szCs w:val="14"/>
          <w:lang w:val="en-US"/>
        </w:rPr>
        <w:t>O</w:t>
      </w:r>
      <w:r>
        <w:rPr>
          <w:rFonts w:cs="Arial" w:ascii="Arial" w:hAnsi="Arial"/>
          <w:sz w:val="14"/>
          <w:szCs w:val="14"/>
          <w:vertAlign w:val="subscript"/>
        </w:rPr>
        <w:t>2</w:t>
      </w:r>
      <w:r>
        <w:rPr>
          <w:rFonts w:cs="Arial" w:ascii="Arial" w:hAnsi="Arial"/>
          <w:sz w:val="14"/>
          <w:szCs w:val="14"/>
        </w:rPr>
        <w:t xml:space="preserve"> и </w:t>
      </w:r>
      <w:r>
        <w:rPr>
          <w:rFonts w:cs="Arial" w:ascii="Arial" w:hAnsi="Arial"/>
          <w:sz w:val="14"/>
          <w:szCs w:val="14"/>
          <w:lang w:val="en-US"/>
        </w:rPr>
        <w:t>N</w:t>
      </w:r>
      <w:r>
        <w:rPr>
          <w:rFonts w:cs="Arial" w:ascii="Arial" w:hAnsi="Arial"/>
          <w:sz w:val="14"/>
          <w:szCs w:val="14"/>
          <w:vertAlign w:val="subscript"/>
        </w:rPr>
        <w:t>2</w:t>
      </w:r>
      <w:r>
        <w:rPr>
          <w:rFonts w:cs="Arial" w:ascii="Arial" w:hAnsi="Arial"/>
          <w:sz w:val="14"/>
          <w:szCs w:val="14"/>
        </w:rPr>
        <w:t xml:space="preserve">, образуя частицы с высоким содержанием азота и кислорода, которые оседают на порошковую подложку; </w:t>
      </w:r>
      <w:r>
        <w:rPr>
          <w:rFonts w:cs="Arial" w:ascii="Arial" w:hAnsi="Arial"/>
          <w:sz w:val="14"/>
          <w:szCs w:val="14"/>
          <w:lang w:val="en-US"/>
        </w:rPr>
        <w:t>b</w:t>
      </w:r>
      <w:r>
        <w:rPr>
          <w:rFonts w:cs="Arial" w:ascii="Arial" w:hAnsi="Arial"/>
          <w:sz w:val="14"/>
          <w:szCs w:val="14"/>
        </w:rPr>
        <w:t xml:space="preserve"> — частицы с высоким содержанием азота и кислорода; </w:t>
      </w:r>
      <w:r>
        <w:rPr>
          <w:rFonts w:cs="Arial" w:ascii="Arial" w:hAnsi="Arial"/>
          <w:sz w:val="14"/>
          <w:szCs w:val="14"/>
          <w:lang w:val="en-US"/>
        </w:rPr>
        <w:t>c</w:t>
      </w:r>
      <w:r>
        <w:rPr>
          <w:rFonts w:cs="Arial" w:ascii="Arial" w:hAnsi="Arial"/>
          <w:sz w:val="14"/>
          <w:szCs w:val="14"/>
        </w:rPr>
        <w:t xml:space="preserve"> — </w:t>
      </w:r>
      <w:r>
        <w:rPr>
          <w:rFonts w:cs="Arial" w:ascii="Arial" w:hAnsi="Arial"/>
          <w:sz w:val="14"/>
          <w:szCs w:val="14"/>
          <w:lang w:val="en-US"/>
        </w:rPr>
        <w:t>O</w:t>
      </w:r>
      <w:r>
        <w:rPr>
          <w:rFonts w:cs="Arial" w:ascii="Arial" w:hAnsi="Arial"/>
          <w:sz w:val="14"/>
          <w:szCs w:val="14"/>
          <w:vertAlign w:val="subscript"/>
        </w:rPr>
        <w:t>2</w:t>
      </w:r>
      <w:r>
        <w:rPr>
          <w:rFonts w:cs="Arial" w:ascii="Arial" w:hAnsi="Arial"/>
          <w:sz w:val="14"/>
          <w:szCs w:val="14"/>
        </w:rPr>
        <w:t xml:space="preserve"> и </w:t>
      </w:r>
      <w:r>
        <w:rPr>
          <w:rFonts w:cs="Arial" w:ascii="Arial" w:hAnsi="Arial"/>
          <w:sz w:val="14"/>
          <w:szCs w:val="14"/>
          <w:lang w:val="en-US"/>
        </w:rPr>
        <w:t>N</w:t>
      </w:r>
      <w:r>
        <w:rPr>
          <w:rFonts w:cs="Arial" w:ascii="Arial" w:hAnsi="Arial"/>
          <w:sz w:val="14"/>
          <w:szCs w:val="14"/>
          <w:vertAlign w:val="subscript"/>
        </w:rPr>
        <w:t xml:space="preserve">2 </w:t>
      </w:r>
      <w:r>
        <w:rPr>
          <w:rFonts w:cs="Arial" w:ascii="Arial" w:hAnsi="Arial"/>
          <w:sz w:val="14"/>
          <w:szCs w:val="14"/>
        </w:rPr>
        <w:t>реагируют с поверхностью ванны расплава.</w:t>
      </w:r>
    </w:p>
    <w:p>
      <w:pPr>
        <w:pStyle w:val="Normal"/>
        <w:widowControl w:val="false"/>
        <w:jc w:val="center"/>
        <w:rPr>
          <w:rFonts w:ascii="Arial" w:hAnsi="Arial" w:cs="Arial"/>
        </w:rPr>
      </w:pPr>
      <w:r>
        <w:rPr>
          <w:rFonts w:cs="Arial" w:ascii="Arial" w:hAnsi="Arial"/>
          <w:sz w:val="14"/>
          <w:szCs w:val="14"/>
        </w:rPr>
        <w:t>Рисунок ДА.2 – Брызги в процессе построения и их влияние на химический состав</w:t>
      </w:r>
    </w:p>
    <w:p>
      <w:pPr>
        <w:pStyle w:val="Normal"/>
        <w:widowControl w:val="false"/>
        <w:spacing w:lineRule="auto" w:line="360" w:before="0" w:after="0"/>
        <w:ind w:firstLine="709"/>
        <w:jc w:val="both"/>
        <w:rPr>
          <w:rFonts w:ascii="Arial" w:hAnsi="Arial" w:cs="Arial"/>
        </w:rPr>
      </w:pPr>
      <w:r>
        <w:rPr>
          <w:rFonts w:cs="Arial" w:ascii="Arial" w:hAnsi="Arial"/>
          <w:sz w:val="14"/>
          <w:szCs w:val="14"/>
        </w:rPr>
        <w:t>Производитель изделий должен гарантировать, что химический состав МПК соответствует установленным требованиям на всех этапах его использования.</w:t>
      </w:r>
    </w:p>
    <w:p>
      <w:pPr>
        <w:pStyle w:val="Normal"/>
        <w:widowControl w:val="false"/>
        <w:spacing w:lineRule="auto" w:line="360" w:before="0" w:after="0"/>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Требования к МПК могут включать требования к химическому составу, которые отличаются от требований к синтезированному материалу, чтобы компенсировать потерю или увеличение количества элементов в аддитивном технологическом процессе (например, избыточное легирование).</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Для определения химического состава образцов МПК могут быть использованы методы, описанные в пунктах 5.3.2-5.3.6.</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Более подробная информация приведена в стандарте ISO/ASTM 52907.</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5.3.2 Методы анализа сжиганием (элементный анализ)</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Методы анализа сжиганием в настоящее время являются наилучшими доступными методами анализа таких элементов как C, H, N и S. После первоначального взвешивания образец подвергают каталитическому сжиганию в среде чистого кислорода при высоких температурах (до 1800 °C при экзотермической реакции). Образующиеся при горении газы затем пропускают в газе-носителе (как правило, в чистом гелии) через медный или вольфрамовый контакт, нагретый приблизительно до 600-900°C. Оксиды азота (NO</w:t>
      </w:r>
      <w:r>
        <w:rPr>
          <w:rFonts w:cs="Arial" w:ascii="Arial" w:hAnsi="Arial"/>
          <w:sz w:val="14"/>
          <w:szCs w:val="14"/>
          <w:vertAlign w:val="subscript"/>
        </w:rPr>
        <w:t>X</w:t>
      </w:r>
      <w:r>
        <w:rPr>
          <w:rFonts w:cs="Arial" w:ascii="Arial" w:hAnsi="Arial"/>
          <w:sz w:val="14"/>
          <w:szCs w:val="14"/>
        </w:rPr>
        <w:t>), содержащиеся в газовом потоке, полностью восстанавливаются до молекулярного азота (N</w:t>
      </w:r>
      <w:r>
        <w:rPr>
          <w:rFonts w:cs="Arial" w:ascii="Arial" w:hAnsi="Arial"/>
          <w:sz w:val="14"/>
          <w:szCs w:val="14"/>
          <w:vertAlign w:val="subscript"/>
        </w:rPr>
        <w:t>2</w:t>
      </w:r>
      <w:r>
        <w:rPr>
          <w:rFonts w:cs="Arial" w:ascii="Arial" w:hAnsi="Arial"/>
          <w:sz w:val="14"/>
          <w:szCs w:val="14"/>
        </w:rPr>
        <w:t>). Затем газы, полученные при сгорании (CO</w:t>
      </w:r>
      <w:r>
        <w:rPr>
          <w:rFonts w:cs="Arial" w:ascii="Arial" w:hAnsi="Arial"/>
          <w:sz w:val="14"/>
          <w:szCs w:val="14"/>
          <w:vertAlign w:val="subscript"/>
        </w:rPr>
        <w:t>2</w:t>
      </w:r>
      <w:r>
        <w:rPr>
          <w:rFonts w:cs="Arial" w:ascii="Arial" w:hAnsi="Arial"/>
          <w:sz w:val="14"/>
          <w:szCs w:val="14"/>
        </w:rPr>
        <w:t>, H</w:t>
      </w:r>
      <w:r>
        <w:rPr>
          <w:rFonts w:cs="Arial" w:ascii="Arial" w:hAnsi="Arial"/>
          <w:sz w:val="14"/>
          <w:szCs w:val="14"/>
          <w:vertAlign w:val="subscript"/>
        </w:rPr>
        <w:t>2</w:t>
      </w:r>
      <w:r>
        <w:rPr>
          <w:rFonts w:cs="Arial" w:ascii="Arial" w:hAnsi="Arial"/>
          <w:sz w:val="14"/>
          <w:szCs w:val="14"/>
        </w:rPr>
        <w:t>O, SO</w:t>
      </w:r>
      <w:r>
        <w:rPr>
          <w:rFonts w:cs="Arial" w:ascii="Arial" w:hAnsi="Arial"/>
          <w:sz w:val="14"/>
          <w:szCs w:val="14"/>
          <w:vertAlign w:val="subscript"/>
        </w:rPr>
        <w:t>2</w:t>
      </w:r>
      <w:r>
        <w:rPr>
          <w:rFonts w:cs="Arial" w:ascii="Arial" w:hAnsi="Arial"/>
          <w:sz w:val="14"/>
          <w:szCs w:val="14"/>
        </w:rPr>
        <w:t>, N</w:t>
      </w:r>
      <w:r>
        <w:rPr>
          <w:rFonts w:cs="Arial" w:ascii="Arial" w:hAnsi="Arial"/>
          <w:sz w:val="14"/>
          <w:szCs w:val="14"/>
          <w:vertAlign w:val="subscript"/>
        </w:rPr>
        <w:t>2</w:t>
      </w:r>
      <w:r>
        <w:rPr>
          <w:rFonts w:cs="Arial" w:ascii="Arial" w:hAnsi="Arial"/>
          <w:sz w:val="14"/>
          <w:szCs w:val="14"/>
        </w:rPr>
        <w:t>), разделяют в специальных разделительных колонках или методом газовой хроматографии и последовательно подаются на детектор по теплопроводности, где происходит их количественное определение.</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 помощью этого метода измерения пики аналитического сигнала могут быть четко отнесены с исследуемыми элементами. Анализ площади пиков позволяет количественно определить отдельные элементы. На основе известной начальной массы, можно точно рассчитать соответствующую массовую долю (в процентах или ppm) элементов C, H, N и S в анализируемом образце.</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Анализ основанный на теплоемкости газа-носителя также относят к методам сжигания.</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5.3.3 Атомно-абсорбционная спектрометрия с пламенной атомизацией</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Атомно-абсорбционная спектрометрия (AAS) - это аналитический метод, основанный на измерении поглощения излучения (света) свободными атомами в газовой фазе.</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Атомно-абсорбционная спектрометрия с пламенной атомизаций является самым старым методом спектрометрии. Раствор образца распыляют в горелку, атомизируют и испаряют в пламени. Аналогичным методом является атомно-абсорбционная спектрометрия с атомизацией пробы в графитовой печи, также известная как атомно-абсорбционная спектрометрия с электротермической атомизации (ETAAS), представляет собой аналогичный метод, при котором образец распыляют в раскаленной графитовой трубке. Оба метода являются универсальными.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5.3.4 Рентгеноспектральный флюоресцентный анализ (</w:t>
      </w:r>
      <w:r>
        <w:rPr>
          <w:rFonts w:cs="Arial" w:ascii="Arial" w:hAnsi="Arial"/>
          <w:b/>
          <w:sz w:val="14"/>
          <w:szCs w:val="14"/>
          <w:lang w:val="en-US"/>
        </w:rPr>
        <w:t>XRF</w:t>
      </w:r>
      <w:r>
        <w:rPr>
          <w:rFonts w:cs="Arial" w:ascii="Arial" w:hAnsi="Arial"/>
          <w:b/>
          <w:sz w:val="14"/>
          <w:szCs w:val="14"/>
        </w:rPr>
        <w:t>)</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Рентгеноспектральный флюоресцентный анализ, также известный как рентгенофлуоресцентный анализ (</w:t>
      </w:r>
      <w:r>
        <w:rPr>
          <w:rFonts w:cs="Arial" w:ascii="Arial" w:hAnsi="Arial"/>
          <w:sz w:val="14"/>
          <w:szCs w:val="14"/>
          <w:lang w:val="en-US"/>
        </w:rPr>
        <w:t>XFA</w:t>
      </w:r>
      <w:r>
        <w:rPr>
          <w:rFonts w:cs="Arial" w:ascii="Arial" w:hAnsi="Arial"/>
          <w:sz w:val="14"/>
          <w:szCs w:val="14"/>
        </w:rPr>
        <w:t>), является одним из наиболее широко используемых методов количественного и качественного определения элементов в образце, поскольку он является неразрушающим методом анализа и не требует приготовления растворов или разбавлений. Предел обнаружения составляет приблизительно один микрограмм на грамм (ppm).</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keepLines/>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5.3.5 Оптико-эмиссионная спектроскопия с индуктивно-связанной плазмой (</w:t>
      </w:r>
      <w:r>
        <w:rPr>
          <w:rFonts w:cs="Arial" w:ascii="Arial" w:hAnsi="Arial"/>
          <w:b/>
          <w:sz w:val="14"/>
          <w:szCs w:val="14"/>
          <w:lang w:val="en-US"/>
        </w:rPr>
        <w:t>ICP</w:t>
      </w:r>
      <w:r>
        <w:rPr>
          <w:rFonts w:cs="Arial" w:ascii="Arial" w:hAnsi="Arial"/>
          <w:b/>
          <w:sz w:val="14"/>
          <w:szCs w:val="14"/>
        </w:rPr>
        <w:t>-</w:t>
      </w:r>
      <w:r>
        <w:rPr>
          <w:rFonts w:cs="Arial" w:ascii="Arial" w:hAnsi="Arial"/>
          <w:b/>
          <w:sz w:val="14"/>
          <w:szCs w:val="14"/>
          <w:lang w:val="en-US"/>
        </w:rPr>
        <w:t>OES</w:t>
      </w:r>
      <w:r>
        <w:rPr>
          <w:rFonts w:cs="Arial" w:ascii="Arial" w:hAnsi="Arial"/>
          <w:b/>
          <w:sz w:val="14"/>
          <w:szCs w:val="14"/>
        </w:rPr>
        <w:t>)</w:t>
      </w:r>
    </w:p>
    <w:p>
      <w:pPr>
        <w:pStyle w:val="Normal"/>
        <w:keepNext w:val="true"/>
        <w:keepLines/>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keepLines/>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Данный метод используют для количественного и качественного элементного анализа твердых, жидких и газообразных образцов. Он основан на принципе, согласно которому возбужденные атомы испускают электромагнитное излучение на длинах волн, характерных для конкретного химического элемента, таким образом предоставляя информацию о составе образца. Атомы возбуждают индуктивно связанной плазмой (ICP) и переводят в плазменное состояние. С помощью этого метода можно определить содержания нескольких элементов одновременно. В настоящее время доступно определение до 70 элементов.</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5.3.6 Э</w:t>
      </w:r>
      <w:r>
        <w:rPr>
          <w:rFonts w:cs="Arial" w:ascii="Arial" w:hAnsi="Arial"/>
          <w:b/>
          <w:bCs/>
          <w:color w:val="202122"/>
          <w:sz w:val="14"/>
          <w:szCs w:val="14"/>
          <w:shd w:fill="FFFFFF" w:val="clear"/>
        </w:rPr>
        <w:t>нергодисперсионная рентгеновская спектроскопия</w:t>
      </w:r>
      <w:r>
        <w:rPr>
          <w:rFonts w:cs="Arial" w:ascii="Arial" w:hAnsi="Arial"/>
          <w:b/>
          <w:sz w:val="14"/>
          <w:szCs w:val="14"/>
        </w:rPr>
        <w:t xml:space="preserve"> (</w:t>
      </w:r>
      <w:r>
        <w:rPr>
          <w:rFonts w:cs="Arial" w:ascii="Arial" w:hAnsi="Arial"/>
          <w:b/>
          <w:sz w:val="14"/>
          <w:szCs w:val="14"/>
          <w:lang w:val="en-US"/>
        </w:rPr>
        <w:t>EDX</w:t>
      </w:r>
      <w:r>
        <w:rPr>
          <w:rFonts w:cs="Arial" w:ascii="Arial" w:hAnsi="Arial"/>
          <w:b/>
          <w:sz w:val="14"/>
          <w:szCs w:val="14"/>
        </w:rPr>
        <w:t>)</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При энергодисперсионной рентгеновской спектроскопии (EDX) в соответствии с методом испытаний ASTM F 1375 атомы в образце возбуждают электронным пучком, который заставляет их испускать рентгеновские лучи, характерные для каждого элемента в образце. Это излучение позволяет определить элементный состав образца.</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Важно отметить, что этот анализ дает лишь ограниченные количественные результаты, которые при некоторых обстоятельствах могут быть недостаточно точными.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Примечания</w:t>
      </w:r>
      <w:r>
        <w:rPr>
          <w:rFonts w:cs="Arial" w:ascii="Arial" w:hAnsi="Arial"/>
          <w:sz w:val="14"/>
          <w:szCs w:val="14"/>
        </w:rPr>
        <w:t xml:space="preserve"> </w:t>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z w:val="14"/>
          <w:szCs w:val="14"/>
        </w:rPr>
        <w:t>1. EDX-анализ часто используют в сочетании со сканирующей электронной микроскопией (SEM) (см. 5.2.5).</w:t>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z w:val="14"/>
          <w:szCs w:val="14"/>
        </w:rPr>
        <w:t>2. При количественном определении сильное влияние оказывает оксидный слой на поверхности, из-за которого возможно неточное определение химического состава всей частицы МПК.</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 помощью этого метода возможен анализ только отдельных частиц МПК, а не всего образца целиком. Такой случайной выборки недостаточно, тем более что химический состав отдельных частиц может существенно отличаться.</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 xml:space="preserve">Для определения конкретных элементов во многих материалах доступны стандартизованные методы испытаний. Например: ASTM E 1409, ASTM E 1447, ASTM E 1941, ASTM E 2371, ASTM E 2792, ASTM E 539, ASTM E 572, ASTM </w:t>
      </w:r>
      <w:r>
        <w:rPr>
          <w:rFonts w:cs="Arial" w:ascii="Arial" w:hAnsi="Arial"/>
          <w:sz w:val="14"/>
          <w:szCs w:val="14"/>
          <w:lang w:val="en-US"/>
        </w:rPr>
        <w:t>E</w:t>
      </w:r>
      <w:r>
        <w:rPr>
          <w:rFonts w:cs="Arial" w:ascii="Arial" w:hAnsi="Arial"/>
          <w:sz w:val="14"/>
          <w:szCs w:val="14"/>
        </w:rPr>
        <w:t xml:space="preserve"> 2465, </w:t>
      </w:r>
      <w:r>
        <w:rPr>
          <w:rFonts w:cs="Arial" w:ascii="Arial" w:hAnsi="Arial"/>
          <w:sz w:val="14"/>
          <w:szCs w:val="14"/>
          <w:lang w:val="en-US"/>
        </w:rPr>
        <w:t>ASTM</w:t>
      </w:r>
      <w:r>
        <w:rPr>
          <w:rFonts w:cs="Arial" w:ascii="Arial" w:hAnsi="Arial"/>
          <w:sz w:val="14"/>
          <w:szCs w:val="14"/>
        </w:rPr>
        <w:t xml:space="preserve"> </w:t>
      </w:r>
      <w:r>
        <w:rPr>
          <w:rFonts w:cs="Arial" w:ascii="Arial" w:hAnsi="Arial"/>
          <w:sz w:val="14"/>
          <w:szCs w:val="14"/>
          <w:lang w:val="en-US"/>
        </w:rPr>
        <w:t>E</w:t>
      </w:r>
      <w:r>
        <w:rPr>
          <w:rFonts w:cs="Arial" w:ascii="Arial" w:hAnsi="Arial"/>
          <w:sz w:val="14"/>
          <w:szCs w:val="14"/>
        </w:rPr>
        <w:t xml:space="preserve"> 2594 и </w:t>
      </w:r>
      <w:r>
        <w:rPr>
          <w:rFonts w:cs="Arial" w:ascii="Arial" w:hAnsi="Arial"/>
          <w:sz w:val="14"/>
          <w:szCs w:val="14"/>
          <w:lang w:val="en-US"/>
        </w:rPr>
        <w:t>ASTM</w:t>
      </w:r>
      <w:r>
        <w:rPr>
          <w:rFonts w:cs="Arial" w:ascii="Arial" w:hAnsi="Arial"/>
          <w:sz w:val="14"/>
          <w:szCs w:val="14"/>
        </w:rPr>
        <w:t> </w:t>
      </w:r>
      <w:r>
        <w:rPr>
          <w:rFonts w:cs="Arial" w:ascii="Arial" w:hAnsi="Arial"/>
          <w:sz w:val="14"/>
          <w:szCs w:val="14"/>
          <w:lang w:val="en-US"/>
        </w:rPr>
        <w:t>E</w:t>
      </w:r>
      <w:r>
        <w:rPr>
          <w:sz w:val="14"/>
          <w:szCs w:val="14"/>
        </w:rPr>
        <w:t> </w:t>
      </w:r>
      <w:r>
        <w:rPr>
          <w:rFonts w:cs="Arial" w:ascii="Arial" w:hAnsi="Arial"/>
          <w:sz w:val="14"/>
          <w:szCs w:val="14"/>
        </w:rPr>
        <w:t>2626.</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b/>
          <w:sz w:val="14"/>
          <w:szCs w:val="14"/>
        </w:rPr>
        <w:t>5.4 Характеристики плотности</w:t>
      </w:r>
    </w:p>
    <w:p>
      <w:pPr>
        <w:pStyle w:val="Normal"/>
        <w:keepNext w:val="true"/>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5.4.1 Общие положения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Истинная плотность материала в твердом состоянии определяется как отношение массы к объему, занимаемому этой массой.</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Насыпная плотность и плотность после утряски позволяют контролировать изменения свойств различных партии МПК или различных смесей из первичной и использованной МПК, возникающих с течением времени.</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Насыпная плотность и плотность после утряски являются важными технологическими свойствами МПК, так как они обуславливают плотность порошковой подложки после формирования слоя и во время построения, а также уплотнение порошковой подложки из-за массы последующих слоев МПК.</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5.4.2 Насыпная плотность</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Насыпная плотность — это отношение массы МПК к занимаемому ей объему, полученного при свободном насыпании без каких-либо воздействий внешних уплотняющих сил.</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5.4.3 Плотность после утряски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Чтобы определить подходящий размер градуированного цилиндра, используемого при измерении плотности после утряски, сначала определяют насыпную плотность.</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Плотность после утряски – это отношение массы МПК к занимаемому ей объему после утряски /утрамбовывания либо после заданного количества этапов утрамбовки, либо после утрамбовки до прекращения дальнейшего уплотнение /изменения объема.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5.4.4 Скелетная плотность</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Измерения насыпной плотности и плотности после утряски не дают точного представления о значении истинной плотности, так как не учитывают пустоты между частицами, которые также могут вносить свой вклад в измеряемый объем. Кроме того, МПК, полученные распыленные газом, могут содержать включения распыляющего газа внутри частиц МПК. Во время построения захваченный газ может выходить наружу и образовывать пустоты или поры в микроструктуре синтезированного материала, ухудшая механические свойства изготовленной продукции. Если материал не имеет внутренней пористости, истинную плотность можно измерить путем вытеснения любой жидкости, инертной по отношению к МПК. Точность данного метода ограничена точностью, с которой может быть определен объем жидкости.</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Скелетная плотность, определенная газовой пикнометрией, благодаря возможности учитывать пустоты между частицами, дает более точную информацию об истинной плотности материала, и поэтому может быть также использована для оценки уровня внутренней пористости частиц МПК путем сравнения с номинальными значениями плотности для выбранного материала.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pacing w:val="40"/>
          <w:sz w:val="14"/>
          <w:szCs w:val="14"/>
        </w:rPr>
        <w:t>Примечание</w:t>
      </w:r>
      <w:r>
        <w:rPr>
          <w:rFonts w:cs="Arial" w:ascii="Arial" w:hAnsi="Arial"/>
          <w:sz w:val="14"/>
          <w:szCs w:val="14"/>
        </w:rPr>
        <w:t xml:space="preserve"> — При определении скелетной пористости жидкость может не полностью заполнять поры, трещины или неровности частиц МПК </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color w:val="FF0000"/>
        </w:rPr>
      </w:pPr>
      <w:r>
        <w:rPr>
          <w:rFonts w:cs="Arial" w:ascii="Arial" w:hAnsi="Arial"/>
          <w:b/>
          <w:sz w:val="14"/>
          <w:szCs w:val="14"/>
        </w:rPr>
        <w:t>5.4.5 Упаковочные свойства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Для оценки упаковочных свойств могут быть использованы различные показатели и коэффициенты. Более подробная информация приведена в таблице 1</w:t>
      </w:r>
    </w:p>
    <w:p>
      <w:pPr>
        <w:pStyle w:val="Normal"/>
        <w:widowControl w:val="false"/>
        <w:spacing w:lineRule="auto" w:line="360" w:before="0" w:after="0"/>
        <w:jc w:val="both"/>
        <w:rPr>
          <w:rFonts w:ascii="Arial" w:hAnsi="Arial" w:cs="Arial"/>
          <w:sz w:val="14"/>
          <w:szCs w:val="14"/>
        </w:rPr>
      </w:pPr>
      <w:r>
        <w:rPr>
          <w:rFonts w:cs="Arial" w:ascii="Arial" w:hAnsi="Arial"/>
          <w:sz w:val="14"/>
          <w:szCs w:val="14"/>
        </w:rPr>
      </w:r>
    </w:p>
    <w:p>
      <w:pPr>
        <w:pStyle w:val="Normal"/>
        <w:widowControl w:val="false"/>
        <w:spacing w:lineRule="auto" w:line="360" w:before="0" w:after="0"/>
        <w:jc w:val="both"/>
        <w:rPr>
          <w:rFonts w:ascii="Arial" w:hAnsi="Arial" w:cs="Arial"/>
          <w:sz w:val="20"/>
          <w:szCs w:val="20"/>
        </w:rPr>
      </w:pPr>
      <w:r>
        <w:rPr>
          <w:rFonts w:cs="Arial" w:ascii="Arial" w:hAnsi="Arial"/>
          <w:spacing w:val="40"/>
          <w:sz w:val="14"/>
          <w:szCs w:val="14"/>
        </w:rPr>
        <w:t>Таблица</w:t>
      </w:r>
      <w:r>
        <w:rPr>
          <w:rFonts w:cs="Arial" w:ascii="Arial" w:hAnsi="Arial"/>
          <w:sz w:val="14"/>
          <w:szCs w:val="14"/>
        </w:rPr>
        <w:t xml:space="preserve"> ДА.1 – Показатели, коэффициенты и методы указания упаковочных свойств </w:t>
      </w:r>
    </w:p>
    <w:tbl>
      <w:tblPr>
        <w:tblW w:w="9067" w:type="dxa"/>
        <w:jc w:val="left"/>
        <w:tblInd w:w="0" w:type="dxa"/>
        <w:tblCellMar>
          <w:top w:w="0" w:type="dxa"/>
          <w:left w:w="108" w:type="dxa"/>
          <w:bottom w:w="0" w:type="dxa"/>
          <w:right w:w="108" w:type="dxa"/>
        </w:tblCellMar>
        <w:tblLook w:val="04a0" w:noVBand="1" w:noHBand="0" w:lastColumn="0" w:firstColumn="1" w:lastRow="0" w:firstRow="1"/>
      </w:tblPr>
      <w:tblGrid>
        <w:gridCol w:w="2434"/>
        <w:gridCol w:w="2434"/>
        <w:gridCol w:w="4199"/>
      </w:tblGrid>
      <w:tr>
        <w:trPr/>
        <w:tc>
          <w:tcPr>
            <w:tcW w:w="2434" w:type="dxa"/>
            <w:tcBorders>
              <w:top w:val="single" w:sz="4" w:space="0" w:color="000000"/>
              <w:left w:val="single" w:sz="4" w:space="0" w:color="000000"/>
              <w:bottom w:val="doub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Параметр</w:t>
            </w:r>
          </w:p>
        </w:tc>
        <w:tc>
          <w:tcPr>
            <w:tcW w:w="2434" w:type="dxa"/>
            <w:tcBorders>
              <w:top w:val="single" w:sz="4" w:space="0" w:color="000000"/>
              <w:left w:val="single" w:sz="4" w:space="0" w:color="000000"/>
              <w:bottom w:val="doub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Формула расчета</w:t>
            </w:r>
          </w:p>
        </w:tc>
        <w:tc>
          <w:tcPr>
            <w:tcW w:w="4199" w:type="dxa"/>
            <w:tcBorders>
              <w:top w:val="single" w:sz="4" w:space="0" w:color="000000"/>
              <w:left w:val="single" w:sz="4" w:space="0" w:color="000000"/>
              <w:bottom w:val="doub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Примечания</w:t>
            </w:r>
          </w:p>
        </w:tc>
      </w:tr>
      <w:tr>
        <w:trPr/>
        <w:tc>
          <w:tcPr>
            <w:tcW w:w="2434" w:type="dxa"/>
            <w:tcBorders>
              <w:top w:val="doub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Индекс Карра</w:t>
            </w:r>
          </w:p>
        </w:tc>
        <w:tc>
          <w:tcPr>
            <w:tcW w:w="2434" w:type="dxa"/>
            <w:tcBorders>
              <w:top w:val="doub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i/>
                <w:i/>
                <w:sz w:val="20"/>
                <w:szCs w:val="20"/>
                <w:lang w:val="en-US"/>
              </w:rPr>
            </w:pPr>
            <w:r>
              <w:rPr>
                <w:rFonts w:cs="Arial" w:ascii="Arial" w:hAnsi="Arial"/>
                <w:sz w:val="14"/>
                <w:szCs w:val="14"/>
              </w:rPr>
              <w:t xml:space="preserve">1 — </w:t>
            </w:r>
            <w:r>
              <w:rPr>
                <w:rFonts w:cs="Arial" w:ascii="Arial" w:hAnsi="Arial"/>
                <w:sz w:val="14"/>
                <w:szCs w:val="14"/>
                <w:lang w:val="en-US"/>
              </w:rPr>
              <w:t>ρ</w:t>
            </w:r>
            <w:r>
              <w:rPr>
                <w:rFonts w:cs="Arial" w:ascii="Arial" w:hAnsi="Arial"/>
                <w:sz w:val="14"/>
                <w:szCs w:val="14"/>
                <w:vertAlign w:val="subscript"/>
                <w:lang w:val="en-US"/>
              </w:rPr>
              <w:t>b</w:t>
            </w:r>
            <w:r>
              <w:rPr>
                <w:rFonts w:cs="Arial" w:ascii="Arial" w:hAnsi="Arial"/>
                <w:sz w:val="14"/>
                <w:szCs w:val="14"/>
                <w:lang w:val="en-US"/>
              </w:rPr>
              <w:t>/ ρ</w:t>
            </w:r>
            <w:r>
              <w:rPr>
                <w:rFonts w:cs="Arial" w:ascii="Arial" w:hAnsi="Arial"/>
                <w:sz w:val="14"/>
                <w:szCs w:val="14"/>
                <w:vertAlign w:val="subscript"/>
                <w:lang w:val="en-US"/>
              </w:rPr>
              <w:t>tap</w:t>
            </w:r>
          </w:p>
        </w:tc>
        <w:tc>
          <w:tcPr>
            <w:tcW w:w="4199" w:type="dxa"/>
            <w:vMerge w:val="restart"/>
            <w:tcBorders>
              <w:top w:val="double" w:sz="4" w:space="0" w:color="000000"/>
              <w:left w:val="single" w:sz="4" w:space="0" w:color="000000"/>
              <w:bottom w:val="single" w:sz="4" w:space="0" w:color="000000"/>
              <w:right w:val="single" w:sz="4" w:space="0" w:color="000000"/>
            </w:tcBorders>
            <w:shd w:fill="auto" w:val="clear"/>
          </w:tcPr>
          <w:p>
            <w:pPr>
              <w:pStyle w:val="Normal"/>
              <w:widowControl w:val="false"/>
              <w:jc w:val="both"/>
              <w:rPr>
                <w:rFonts w:ascii="Arial" w:hAnsi="Arial" w:cs="Arial"/>
                <w:sz w:val="20"/>
                <w:szCs w:val="20"/>
              </w:rPr>
            </w:pPr>
            <w:r>
              <w:rPr>
                <w:rFonts w:cs="Arial" w:ascii="Arial" w:hAnsi="Arial"/>
                <w:sz w:val="14"/>
                <w:szCs w:val="14"/>
              </w:rPr>
              <w:t>Утряска МПК в емкости после определенного числа встряхиваний</w:t>
            </w:r>
          </w:p>
          <w:p>
            <w:pPr>
              <w:pStyle w:val="Normal"/>
              <w:widowControl w:val="false"/>
              <w:jc w:val="both"/>
              <w:rPr>
                <w:rFonts w:ascii="Arial" w:hAnsi="Arial" w:cs="Arial"/>
                <w:sz w:val="20"/>
                <w:szCs w:val="20"/>
              </w:rPr>
            </w:pPr>
            <w:r>
              <w:rPr>
                <w:rFonts w:cs="Arial" w:ascii="Arial" w:hAnsi="Arial"/>
                <w:sz w:val="14"/>
                <w:szCs w:val="14"/>
                <w:lang w:val="en-US"/>
              </w:rPr>
              <w:t>ρ</w:t>
            </w:r>
            <w:r>
              <w:rPr>
                <w:rFonts w:cs="Arial" w:ascii="Arial" w:hAnsi="Arial"/>
                <w:sz w:val="14"/>
                <w:szCs w:val="14"/>
                <w:vertAlign w:val="subscript"/>
                <w:lang w:val="en-US"/>
              </w:rPr>
              <w:t>b</w:t>
            </w:r>
            <w:r>
              <w:rPr>
                <w:rFonts w:cs="Arial" w:ascii="Arial" w:hAnsi="Arial"/>
                <w:sz w:val="14"/>
                <w:szCs w:val="14"/>
              </w:rPr>
              <w:t>: насыпная плотность</w:t>
            </w:r>
          </w:p>
          <w:p>
            <w:pPr>
              <w:pStyle w:val="Normal"/>
              <w:widowControl w:val="false"/>
              <w:jc w:val="both"/>
              <w:rPr>
                <w:rFonts w:ascii="Arial" w:hAnsi="Arial" w:cs="Arial"/>
                <w:sz w:val="20"/>
                <w:szCs w:val="20"/>
              </w:rPr>
            </w:pPr>
            <w:r>
              <w:rPr>
                <w:rFonts w:cs="Arial" w:ascii="Arial" w:hAnsi="Arial"/>
                <w:sz w:val="14"/>
                <w:szCs w:val="14"/>
                <w:lang w:val="en-US"/>
              </w:rPr>
              <w:t>ρ</w:t>
            </w:r>
            <w:r>
              <w:rPr>
                <w:rFonts w:cs="Arial" w:ascii="Arial" w:hAnsi="Arial"/>
                <w:sz w:val="14"/>
                <w:szCs w:val="14"/>
                <w:vertAlign w:val="subscript"/>
                <w:lang w:val="en-US"/>
              </w:rPr>
              <w:t>tap</w:t>
            </w:r>
            <w:r>
              <w:rPr>
                <w:rFonts w:cs="Arial" w:ascii="Arial" w:hAnsi="Arial"/>
                <w:sz w:val="14"/>
                <w:szCs w:val="14"/>
                <w:vertAlign w:val="subscript"/>
              </w:rPr>
              <w:t xml:space="preserve"> </w:t>
            </w:r>
            <w:r>
              <w:rPr>
                <w:rFonts w:cs="Arial" w:ascii="Arial" w:hAnsi="Arial"/>
                <w:sz w:val="14"/>
                <w:szCs w:val="14"/>
              </w:rPr>
              <w:t>: плотность после утряски</w:t>
            </w:r>
          </w:p>
          <w:p>
            <w:pPr>
              <w:pStyle w:val="Normal"/>
              <w:widowControl w:val="false"/>
              <w:jc w:val="both"/>
              <w:rPr>
                <w:rFonts w:ascii="Arial" w:hAnsi="Arial" w:cs="Arial"/>
                <w:sz w:val="20"/>
                <w:szCs w:val="20"/>
              </w:rPr>
            </w:pPr>
            <w:r>
              <w:rPr>
                <w:rFonts w:cs="Arial" w:ascii="Arial" w:hAnsi="Arial"/>
                <w:sz w:val="14"/>
                <w:szCs w:val="14"/>
                <w:lang w:val="en-US"/>
              </w:rPr>
              <w:t>V</w:t>
            </w:r>
            <w:r>
              <w:rPr>
                <w:rFonts w:cs="Arial" w:ascii="Arial" w:hAnsi="Arial"/>
                <w:sz w:val="14"/>
                <w:szCs w:val="14"/>
                <w:vertAlign w:val="subscript"/>
                <w:lang w:val="en-US"/>
              </w:rPr>
              <w:t>drum</w:t>
            </w:r>
            <w:r>
              <w:rPr>
                <w:rFonts w:cs="Arial" w:ascii="Arial" w:hAnsi="Arial"/>
                <w:sz w:val="14"/>
                <w:szCs w:val="14"/>
                <w:vertAlign w:val="subscript"/>
              </w:rPr>
              <w:t xml:space="preserve"> </w:t>
            </w:r>
            <w:r>
              <w:rPr>
                <w:rFonts w:cs="Arial" w:ascii="Arial" w:hAnsi="Arial"/>
                <w:sz w:val="14"/>
                <w:szCs w:val="14"/>
              </w:rPr>
              <w:t>: объем МПК внутри барабана</w:t>
            </w:r>
          </w:p>
          <w:p>
            <w:pPr>
              <w:pStyle w:val="Normal"/>
              <w:widowControl w:val="false"/>
              <w:spacing w:before="0" w:after="200"/>
              <w:jc w:val="both"/>
              <w:rPr>
                <w:rFonts w:ascii="Arial" w:hAnsi="Arial" w:cs="Arial"/>
                <w:sz w:val="20"/>
                <w:szCs w:val="20"/>
              </w:rPr>
            </w:pPr>
            <w:r>
              <w:rPr>
                <w:rFonts w:cs="Arial" w:ascii="Arial" w:hAnsi="Arial"/>
                <w:sz w:val="14"/>
                <w:szCs w:val="14"/>
                <w:lang w:val="en-US"/>
              </w:rPr>
              <w:t>V</w:t>
            </w:r>
            <w:r>
              <w:rPr>
                <w:rFonts w:cs="Arial" w:ascii="Arial" w:hAnsi="Arial"/>
                <w:sz w:val="14"/>
                <w:szCs w:val="14"/>
                <w:vertAlign w:val="subscript"/>
                <w:lang w:val="en-US"/>
              </w:rPr>
              <w:t>tap</w:t>
            </w:r>
            <w:r>
              <w:rPr>
                <w:rFonts w:cs="Arial" w:ascii="Arial" w:hAnsi="Arial"/>
                <w:sz w:val="14"/>
                <w:szCs w:val="14"/>
              </w:rPr>
              <w:t xml:space="preserve"> : объем МПК после утряски</w:t>
            </w:r>
          </w:p>
        </w:tc>
      </w:tr>
      <w:tr>
        <w:trPr/>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Коэффициент Хауснера</w:t>
            </w:r>
          </w:p>
        </w:tc>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lang w:val="en-US"/>
              </w:rPr>
            </w:pPr>
            <w:r>
              <w:rPr>
                <w:rFonts w:cs="Arial" w:ascii="Arial" w:hAnsi="Arial"/>
                <w:sz w:val="14"/>
                <w:szCs w:val="14"/>
                <w:lang w:val="en-US"/>
              </w:rPr>
              <w:t>Hr = ρ</w:t>
            </w:r>
            <w:r>
              <w:rPr>
                <w:rFonts w:cs="Arial" w:ascii="Arial" w:hAnsi="Arial"/>
                <w:sz w:val="14"/>
                <w:szCs w:val="14"/>
                <w:vertAlign w:val="subscript"/>
                <w:lang w:val="en-US"/>
              </w:rPr>
              <w:t>tap</w:t>
            </w:r>
            <w:r>
              <w:rPr>
                <w:rFonts w:cs="Arial" w:ascii="Arial" w:hAnsi="Arial"/>
                <w:sz w:val="14"/>
                <w:szCs w:val="14"/>
                <w:lang w:val="en-US"/>
              </w:rPr>
              <w:t>/ ρ</w:t>
            </w:r>
            <w:r>
              <w:rPr>
                <w:rFonts w:cs="Arial" w:ascii="Arial" w:hAnsi="Arial"/>
                <w:sz w:val="14"/>
                <w:szCs w:val="14"/>
                <w:vertAlign w:val="subscript"/>
                <w:lang w:val="en-US"/>
              </w:rPr>
              <w:t>b</w:t>
            </w:r>
          </w:p>
        </w:tc>
        <w:tc>
          <w:tcPr>
            <w:tcW w:w="419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4"/>
                <w:szCs w:val="14"/>
              </w:rPr>
            </w:pPr>
            <w:r>
              <w:rPr>
                <w:rFonts w:cs="Arial" w:ascii="Arial" w:hAnsi="Arial"/>
                <w:sz w:val="14"/>
                <w:szCs w:val="14"/>
              </w:rPr>
            </w:r>
          </w:p>
        </w:tc>
      </w:tr>
      <w:tr>
        <w:trPr/>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Внутренняя пористость частиц</w:t>
            </w:r>
          </w:p>
        </w:tc>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Ie</w:t>
            </w:r>
            <w:r>
              <w:rPr>
                <w:rFonts w:cs="Arial" w:ascii="Arial" w:hAnsi="Arial"/>
                <w:sz w:val="14"/>
                <w:szCs w:val="14"/>
              </w:rPr>
              <w:t xml:space="preserve"> = </w:t>
            </w:r>
            <w:r>
              <w:rPr>
                <w:rFonts w:cs="Arial" w:ascii="Arial" w:hAnsi="Arial"/>
                <w:sz w:val="14"/>
                <w:szCs w:val="14"/>
                <w:lang w:val="en-US"/>
              </w:rPr>
              <w:t>ρ</w:t>
            </w:r>
            <w:r>
              <w:rPr>
                <w:rFonts w:cs="Arial" w:ascii="Arial" w:hAnsi="Arial"/>
                <w:sz w:val="14"/>
                <w:szCs w:val="14"/>
                <w:vertAlign w:val="subscript"/>
                <w:lang w:val="en-US"/>
              </w:rPr>
              <w:t>tap</w:t>
            </w:r>
            <w:r>
              <w:rPr>
                <w:rFonts w:cs="Arial" w:ascii="Arial" w:hAnsi="Arial"/>
                <w:sz w:val="14"/>
                <w:szCs w:val="14"/>
              </w:rPr>
              <w:t xml:space="preserve"> - </w:t>
            </w:r>
            <w:r>
              <w:rPr>
                <w:rFonts w:cs="Arial" w:ascii="Arial" w:hAnsi="Arial"/>
                <w:sz w:val="14"/>
                <w:szCs w:val="14"/>
                <w:lang w:val="en-US"/>
              </w:rPr>
              <w:t>ρ</w:t>
            </w:r>
            <w:r>
              <w:rPr>
                <w:rFonts w:cs="Arial" w:ascii="Arial" w:hAnsi="Arial"/>
                <w:sz w:val="14"/>
                <w:szCs w:val="14"/>
                <w:vertAlign w:val="subscript"/>
                <w:lang w:val="en-US"/>
              </w:rPr>
              <w:t>b</w:t>
            </w:r>
            <w:r>
              <w:rPr>
                <w:rFonts w:cs="Arial" w:ascii="Arial" w:hAnsi="Arial"/>
                <w:sz w:val="14"/>
                <w:szCs w:val="14"/>
              </w:rPr>
              <w:t xml:space="preserve"> * </w:t>
            </w:r>
            <w:r>
              <w:rPr>
                <w:rFonts w:cs="Arial" w:ascii="Arial" w:hAnsi="Arial"/>
                <w:sz w:val="14"/>
                <w:szCs w:val="14"/>
                <w:lang w:val="en-US"/>
              </w:rPr>
              <w:t>ρ</w:t>
            </w:r>
            <w:r>
              <w:rPr>
                <w:rFonts w:cs="Arial" w:ascii="Arial" w:hAnsi="Arial"/>
                <w:sz w:val="14"/>
                <w:szCs w:val="14"/>
                <w:vertAlign w:val="subscript"/>
                <w:lang w:val="en-US"/>
              </w:rPr>
              <w:t>b</w:t>
            </w:r>
            <w:r>
              <w:rPr>
                <w:rFonts w:cs="Arial" w:ascii="Arial" w:hAnsi="Arial"/>
                <w:sz w:val="14"/>
                <w:szCs w:val="14"/>
              </w:rPr>
              <w:t xml:space="preserve">/ </w:t>
            </w:r>
            <w:r>
              <w:rPr>
                <w:rFonts w:cs="Arial" w:ascii="Arial" w:hAnsi="Arial"/>
                <w:sz w:val="14"/>
                <w:szCs w:val="14"/>
                <w:lang w:val="en-US"/>
              </w:rPr>
              <w:t>ρ</w:t>
            </w:r>
            <w:r>
              <w:rPr>
                <w:rFonts w:cs="Arial" w:ascii="Arial" w:hAnsi="Arial"/>
                <w:sz w:val="14"/>
                <w:szCs w:val="14"/>
                <w:vertAlign w:val="subscript"/>
                <w:lang w:val="en-US"/>
              </w:rPr>
              <w:t>tap</w:t>
            </w:r>
          </w:p>
        </w:tc>
        <w:tc>
          <w:tcPr>
            <w:tcW w:w="419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4"/>
                <w:szCs w:val="14"/>
              </w:rPr>
            </w:pPr>
            <w:r>
              <w:rPr>
                <w:rFonts w:cs="Arial" w:ascii="Arial" w:hAnsi="Arial"/>
                <w:sz w:val="14"/>
                <w:szCs w:val="14"/>
              </w:rPr>
            </w:r>
          </w:p>
        </w:tc>
      </w:tr>
      <w:tr>
        <w:trPr/>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Коэффициент увеличения объема</w:t>
            </w:r>
          </w:p>
        </w:tc>
        <w:tc>
          <w:tcPr>
            <w:tcW w:w="24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lang w:val="en-US"/>
              </w:rPr>
            </w:pPr>
            <w:r>
              <w:rPr>
                <w:rFonts w:cs="Arial" w:ascii="Arial" w:hAnsi="Arial"/>
                <w:sz w:val="14"/>
                <w:szCs w:val="14"/>
                <w:lang w:val="en-US"/>
              </w:rPr>
              <w:t>V</w:t>
            </w:r>
            <w:r>
              <w:rPr>
                <w:rFonts w:cs="Arial" w:ascii="Arial" w:hAnsi="Arial"/>
                <w:sz w:val="14"/>
                <w:szCs w:val="14"/>
                <w:vertAlign w:val="subscript"/>
                <w:lang w:val="en-US"/>
              </w:rPr>
              <w:t>drum</w:t>
            </w:r>
            <w:r>
              <w:rPr>
                <w:rFonts w:cs="Arial" w:ascii="Arial" w:hAnsi="Arial"/>
                <w:sz w:val="14"/>
                <w:szCs w:val="14"/>
                <w:lang w:val="en-US"/>
              </w:rPr>
              <w:t>/V</w:t>
            </w:r>
            <w:r>
              <w:rPr>
                <w:rFonts w:cs="Arial" w:ascii="Arial" w:hAnsi="Arial"/>
                <w:sz w:val="14"/>
                <w:szCs w:val="14"/>
                <w:vertAlign w:val="subscript"/>
                <w:lang w:val="en-US"/>
              </w:rPr>
              <w:t>tap</w:t>
            </w:r>
            <w:r>
              <w:rPr>
                <w:rFonts w:cs="Arial" w:ascii="Arial" w:hAnsi="Arial"/>
                <w:sz w:val="14"/>
                <w:szCs w:val="14"/>
                <w:lang w:val="en-US"/>
              </w:rPr>
              <w:t xml:space="preserve"> </w:t>
            </w:r>
          </w:p>
        </w:tc>
        <w:tc>
          <w:tcPr>
            <w:tcW w:w="419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4"/>
                <w:szCs w:val="14"/>
              </w:rPr>
            </w:pPr>
            <w:r>
              <w:rPr>
                <w:rFonts w:cs="Arial" w:ascii="Arial" w:hAnsi="Arial"/>
                <w:sz w:val="14"/>
                <w:szCs w:val="14"/>
              </w:rPr>
            </w:r>
          </w:p>
        </w:tc>
      </w:tr>
    </w:tbl>
    <w:p>
      <w:pPr>
        <w:pStyle w:val="Normal"/>
        <w:keepNext w:val="true"/>
        <w:spacing w:before="200" w:after="200"/>
        <w:ind w:firstLine="709"/>
        <w:jc w:val="both"/>
        <w:rPr>
          <w:rFonts w:ascii="Arial" w:hAnsi="Arial" w:cs="Arial"/>
          <w:b/>
          <w:b/>
          <w:szCs w:val="20"/>
        </w:rPr>
      </w:pPr>
      <w:r>
        <w:rPr>
          <w:rFonts w:cs="Arial" w:ascii="Arial" w:hAnsi="Arial"/>
          <w:b/>
          <w:sz w:val="14"/>
          <w:szCs w:val="14"/>
        </w:rPr>
        <w:t>5.5 Определение плотности МПК (закрытая пористость частиц)</w:t>
      </w:r>
    </w:p>
    <w:p>
      <w:pPr>
        <w:pStyle w:val="Normal"/>
        <w:keepNext w:val="true"/>
        <w:spacing w:lineRule="auto" w:line="360" w:before="0" w:after="0"/>
        <w:ind w:firstLine="709"/>
        <w:jc w:val="both"/>
        <w:rPr>
          <w:rFonts w:ascii="Arial" w:hAnsi="Arial" w:cs="Arial"/>
          <w:b/>
          <w:b/>
        </w:rPr>
      </w:pPr>
      <w:r>
        <w:rPr>
          <w:rFonts w:cs="Arial" w:ascii="Arial" w:hAnsi="Arial"/>
          <w:b/>
          <w:sz w:val="14"/>
          <w:szCs w:val="14"/>
        </w:rPr>
        <w:t>5.5.1 Общие положения</w:t>
      </w:r>
    </w:p>
    <w:p>
      <w:pPr>
        <w:pStyle w:val="Normal"/>
        <w:widowControl w:val="false"/>
        <w:spacing w:lineRule="auto" w:line="360" w:before="0" w:after="0"/>
        <w:ind w:firstLine="709"/>
        <w:jc w:val="both"/>
        <w:rPr>
          <w:rFonts w:ascii="Arial" w:hAnsi="Arial" w:cs="Arial"/>
        </w:rPr>
      </w:pPr>
      <w:r>
        <w:rPr>
          <w:rFonts w:cs="Arial" w:ascii="Arial" w:hAnsi="Arial"/>
          <w:sz w:val="14"/>
          <w:szCs w:val="14"/>
        </w:rPr>
        <w:t>Закрытая (внутренняя) пористость частиц оказывает влияние на стабильность процесса, поскольку поведение полых сфер при плавлении отличается от поведения твердых сфер. Определение плотности МПК, т.е. закрытой пористости частиц, является способом косвенного измерения доли полостей в частицах МПК. Используются следующие методы.</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b/>
          <w:b/>
        </w:rPr>
      </w:pPr>
      <w:r>
        <w:rPr>
          <w:rFonts w:cs="Arial" w:ascii="Arial" w:hAnsi="Arial"/>
          <w:b/>
          <w:sz w:val="14"/>
          <w:szCs w:val="14"/>
        </w:rPr>
        <w:t>5.5.2 Газовая пикнометрия</w:t>
      </w:r>
    </w:p>
    <w:p>
      <w:pPr>
        <w:pStyle w:val="Normal"/>
        <w:widowControl w:val="false"/>
        <w:spacing w:lineRule="auto" w:line="360" w:before="0" w:after="0"/>
        <w:ind w:firstLine="709"/>
        <w:jc w:val="both"/>
        <w:rPr>
          <w:rFonts w:ascii="Arial" w:hAnsi="Arial" w:cs="Arial"/>
        </w:rPr>
      </w:pPr>
      <w:r>
        <w:rPr>
          <w:rFonts w:cs="Arial" w:ascii="Arial" w:hAnsi="Arial"/>
          <w:sz w:val="14"/>
          <w:szCs w:val="14"/>
        </w:rPr>
        <w:t>Газовая пикнометрия - это метод измерения, основанный на замещении газа в калиброванном сосуде (пикнометре). Газовая пикнометрия должна проводиться в соответствии со стандартом ISO 12154 или ASTM B 923.</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b/>
          <w:b/>
        </w:rPr>
      </w:pPr>
      <w:r>
        <w:rPr>
          <w:rFonts w:cs="Arial" w:ascii="Arial" w:hAnsi="Arial"/>
          <w:b/>
          <w:sz w:val="14"/>
          <w:szCs w:val="14"/>
        </w:rPr>
        <w:t>5.5.3 Анализ металлографического шлифа</w:t>
      </w:r>
    </w:p>
    <w:p>
      <w:pPr>
        <w:pStyle w:val="Normal"/>
        <w:keepNext w:val="tru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spacing w:lineRule="auto" w:line="360" w:before="0" w:after="0"/>
        <w:ind w:firstLine="709"/>
        <w:jc w:val="both"/>
        <w:rPr>
          <w:rFonts w:ascii="Arial" w:hAnsi="Arial" w:cs="Arial"/>
        </w:rPr>
      </w:pPr>
      <w:r>
        <w:rPr>
          <w:rFonts w:cs="Arial" w:ascii="Arial" w:hAnsi="Arial"/>
          <w:sz w:val="14"/>
          <w:szCs w:val="14"/>
        </w:rPr>
        <w:t>Частицы МПК заливают затвердевающим связующим веществом и шлифуют. При помощи камеры получают микрофотографии, которые затем анализируют с целью определения пористости частиц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5.6 Насыпная плотность и плотность после утряски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b/>
          <w:sz w:val="14"/>
          <w:szCs w:val="14"/>
        </w:rPr>
        <w:t>5.6.1 Плотность после утряски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Плотность после утряски - это плотность МПК, уплотненной без воздействия дополнительного внешнего давления при помощи встряхиваний до прекращения дальнейшего уменьшения объема МПК. Данная характеристика описывает потенциальную сжимаемость МПК.</w:t>
      </w:r>
    </w:p>
    <w:p>
      <w:pPr>
        <w:pStyle w:val="Normal"/>
        <w:widowControl w:val="false"/>
        <w:spacing w:lineRule="auto" w:line="360" w:before="0" w:after="0"/>
        <w:ind w:firstLine="709"/>
        <w:jc w:val="both"/>
        <w:rPr>
          <w:rFonts w:ascii="Arial" w:hAnsi="Arial" w:cs="Arial"/>
        </w:rPr>
      </w:pPr>
      <w:r>
        <w:rPr>
          <w:rFonts w:cs="Arial" w:ascii="Arial" w:hAnsi="Arial"/>
          <w:sz w:val="14"/>
          <w:szCs w:val="14"/>
        </w:rPr>
        <w:t>Плотность после утряски определяют с использованием методов измерения объема, описанных в стандартах ISO 3953 или ASTM B 527.</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b/>
          <w:sz w:val="14"/>
          <w:szCs w:val="14"/>
        </w:rPr>
        <w:t>5.6.2 Насыпная плотность</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Насыпная плотность МПК представляет собой отношение массы к измеренному объему и в значительной степени зависит от формы частиц, условий хранения и воздействия внешних механических сил. Используются следующие методы определения насыпной плотности:</w:t>
      </w:r>
    </w:p>
    <w:p>
      <w:pPr>
        <w:pStyle w:val="Normal"/>
        <w:widowControl w:val="false"/>
        <w:spacing w:lineRule="auto" w:line="360" w:before="0" w:after="0"/>
        <w:ind w:firstLine="709"/>
        <w:jc w:val="both"/>
        <w:rPr>
          <w:rFonts w:ascii="Arial" w:hAnsi="Arial" w:cs="Arial"/>
        </w:rPr>
      </w:pPr>
      <w:r>
        <w:rPr>
          <w:rFonts w:cs="Arial" w:ascii="Arial" w:hAnsi="Arial"/>
          <w:sz w:val="14"/>
          <w:szCs w:val="14"/>
        </w:rPr>
        <w:t>1. Метод с применением волюметра Скотта: ISO 3923-2 и ASTM B 329 описывают использование волюметра Скотта, который подходит в том числе для МПК, которые не текут свободно.</w:t>
      </w:r>
    </w:p>
    <w:p>
      <w:pPr>
        <w:pStyle w:val="Normal"/>
        <w:widowControl w:val="false"/>
        <w:spacing w:lineRule="auto" w:line="360" w:before="0" w:after="0"/>
        <w:ind w:firstLine="709"/>
        <w:jc w:val="both"/>
        <w:rPr>
          <w:rFonts w:ascii="Arial" w:hAnsi="Arial" w:cs="Arial"/>
        </w:rPr>
      </w:pPr>
      <w:r>
        <w:rPr>
          <w:rFonts w:cs="Arial" w:ascii="Arial" w:hAnsi="Arial"/>
          <w:sz w:val="14"/>
          <w:szCs w:val="14"/>
        </w:rPr>
        <w:t>2. Метод с применением воронки: Метод с применением воронки в соответствии со стандартом ISO 3923-1 или ASTM B 212 и ASTM B 417 подходит для определения насыпной плотности МПК.</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widowControl w:val="false"/>
        <w:spacing w:lineRule="auto" w:line="360" w:before="0" w:after="0"/>
        <w:ind w:firstLine="709"/>
        <w:jc w:val="both"/>
        <w:rPr>
          <w:rFonts w:ascii="Arial" w:hAnsi="Arial" w:cs="Arial"/>
        </w:rPr>
      </w:pPr>
      <w:r>
        <w:rPr>
          <w:rFonts w:cs="Arial" w:ascii="Arial" w:hAnsi="Arial"/>
          <w:b/>
          <w:sz w:val="14"/>
          <w:szCs w:val="14"/>
        </w:rPr>
        <w:t>5.7 Морфология</w:t>
      </w:r>
    </w:p>
    <w:p>
      <w:pPr>
        <w:pStyle w:val="Normal"/>
        <w:keepNext w:val="true"/>
        <w:widowControl w:val="false"/>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keepNext w:val="true"/>
        <w:widowControl w:val="false"/>
        <w:spacing w:lineRule="auto" w:line="360" w:before="0" w:after="0"/>
        <w:ind w:firstLine="709"/>
        <w:jc w:val="both"/>
        <w:rPr>
          <w:rFonts w:ascii="Arial" w:hAnsi="Arial" w:cs="Arial"/>
          <w:b/>
          <w:b/>
        </w:rPr>
      </w:pPr>
      <w:r>
        <w:rPr>
          <w:rFonts w:cs="Arial" w:ascii="Arial" w:hAnsi="Arial"/>
          <w:b/>
          <w:sz w:val="14"/>
          <w:szCs w:val="14"/>
        </w:rPr>
        <w:t>5.7.1 Общие положения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 xml:space="preserve">На технологические свойства МПК, например, на стадии формирования/выравнивая слоя, сильное влияние оказывает морфология частиц. Как правило, предпочтительной формой частиц является сферическая, так как сферические частицы имеют наилучшие показатели текучести. </w:t>
      </w:r>
    </w:p>
    <w:p>
      <w:pPr>
        <w:pStyle w:val="Normal"/>
        <w:widowControl w:val="false"/>
        <w:spacing w:lineRule="auto" w:line="360" w:before="0" w:after="0"/>
        <w:ind w:firstLine="709"/>
        <w:jc w:val="both"/>
        <w:rPr>
          <w:rFonts w:ascii="Arial" w:hAnsi="Arial" w:cs="Arial"/>
        </w:rPr>
      </w:pPr>
      <w:r>
        <w:rPr>
          <w:rFonts w:cs="Arial" w:ascii="Arial" w:hAnsi="Arial"/>
          <w:sz w:val="14"/>
          <w:szCs w:val="14"/>
        </w:rPr>
        <w:t>Морфология частицы определяется относительными размерами длинной, средней и короткой осей. Отношение среднего диаметра к длинному и отношение короткого диаметра к промежуточному используют для определения класса формы, см. также таблицу 2.</w:t>
      </w:r>
    </w:p>
    <w:p>
      <w:pPr>
        <w:pStyle w:val="Normal"/>
        <w:widowControl w:val="false"/>
        <w:spacing w:lineRule="auto" w:line="360" w:before="0" w:after="0"/>
        <w:ind w:firstLine="709"/>
        <w:jc w:val="both"/>
        <w:rPr>
          <w:rFonts w:ascii="Arial" w:hAnsi="Arial" w:cs="Arial"/>
        </w:rPr>
      </w:pPr>
      <w:r>
        <w:rPr>
          <w:rFonts w:cs="Arial" w:ascii="Arial" w:hAnsi="Arial"/>
          <w:sz w:val="14"/>
          <w:szCs w:val="14"/>
        </w:rPr>
        <w:t>Более мелкие частицы часто прилипают к более крупным частицам, образуя так называемые “сателлиты”. Они могут присутствовать в первичной МПК, но обычно их содержание увеличивается при последующем повторном использовании МПК. Сателлиты образуются во время использования при соединении двух или более частиц и, в некоторых случая, их содержание может снижаться, если сплавленные частицы распадаются на две или более отдельных частицы (см. рисунок ДА.3).</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r>
        <w:br w:type="page"/>
      </w:r>
    </w:p>
    <w:p>
      <w:pPr>
        <w:pStyle w:val="Normal"/>
        <w:widowControl w:val="false"/>
        <w:rPr>
          <w:rFonts w:ascii="Arial" w:hAnsi="Arial" w:cs="Arial"/>
          <w:sz w:val="20"/>
          <w:szCs w:val="20"/>
        </w:rPr>
      </w:pPr>
      <w:r>
        <w:rPr>
          <w:rFonts w:cs="Arial" w:ascii="Arial" w:hAnsi="Arial"/>
          <w:spacing w:val="40"/>
          <w:sz w:val="14"/>
          <w:szCs w:val="14"/>
        </w:rPr>
        <w:t>Таблица</w:t>
      </w:r>
      <w:r>
        <w:rPr>
          <w:rFonts w:cs="Arial" w:ascii="Arial" w:hAnsi="Arial"/>
          <w:sz w:val="14"/>
          <w:szCs w:val="14"/>
        </w:rPr>
        <w:t xml:space="preserve"> ДА.3 – Параметры формы частицы</w:t>
      </w:r>
    </w:p>
    <w:tbl>
      <w:tblPr>
        <w:tblW w:w="9628" w:type="dxa"/>
        <w:jc w:val="left"/>
        <w:tblInd w:w="0" w:type="dxa"/>
        <w:tblCellMar>
          <w:top w:w="0" w:type="dxa"/>
          <w:left w:w="108" w:type="dxa"/>
          <w:bottom w:w="0" w:type="dxa"/>
          <w:right w:w="108" w:type="dxa"/>
        </w:tblCellMar>
        <w:tblLook w:val="04a0" w:noVBand="1" w:noHBand="0" w:lastColumn="0" w:firstColumn="1" w:lastRow="0" w:firstRow="1"/>
      </w:tblPr>
      <w:tblGrid>
        <w:gridCol w:w="1708"/>
        <w:gridCol w:w="1298"/>
        <w:gridCol w:w="715"/>
        <w:gridCol w:w="766"/>
        <w:gridCol w:w="348"/>
        <w:gridCol w:w="872"/>
        <w:gridCol w:w="1"/>
        <w:gridCol w:w="1331"/>
        <w:gridCol w:w="673"/>
        <w:gridCol w:w="522"/>
        <w:gridCol w:w="1393"/>
      </w:tblGrid>
      <w:tr>
        <w:trPr/>
        <w:tc>
          <w:tcPr>
            <w:tcW w:w="1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4"/>
                <w:szCs w:val="14"/>
              </w:rPr>
            </w:pPr>
            <w:r>
              <w:rPr>
                <w:rFonts w:cs="Arial" w:ascii="Arial" w:hAnsi="Arial"/>
                <w:sz w:val="14"/>
                <w:szCs w:val="14"/>
              </w:rPr>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Сферическая</w: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Окргулая</w: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Продолговатая</w: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Округлая с сателлитами</w:t>
            </w:r>
          </w:p>
        </w:tc>
      </w:tr>
      <w:tr>
        <w:trPr/>
        <w:tc>
          <w:tcPr>
            <w:tcW w:w="1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Частица</w:t>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sz w:val="14"/>
                <w:szCs w:val="14"/>
              </w:rPr>
              <w:object>
                <v:shape id="ole_rId12" style="width:66pt;height:42pt" o:ole="">
                  <v:imagedata r:id="rId13" o:title=""/>
                </v:shape>
                <o:OLEObject Type="Embed" ProgID="PBrush" ShapeID="ole_rId12" DrawAspect="Content" ObjectID="_2142438750" r:id="rId12"/>
              </w:object>
              <mc:AlternateContent>
                <mc:Choice Requires="wps">
                  <w:drawing>
                    <wp:anchor behindDoc="0" distT="0" distB="0" distL="114300" distR="114300" simplePos="0" locked="0" layoutInCell="1" allowOverlap="1" relativeHeight="4">
                      <wp:simplePos x="0" y="0"/>
                      <wp:positionH relativeFrom="column">
                        <wp:posOffset>635</wp:posOffset>
                      </wp:positionH>
                      <wp:positionV relativeFrom="paragraph">
                        <wp:posOffset>635</wp:posOffset>
                      </wp:positionV>
                      <wp:extent cx="635635" cy="635635"/>
                      <wp:effectExtent l="0" t="0" r="0" b="0"/>
                      <wp:wrapNone/>
                      <wp:docPr id="8"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sz w:val="14"/>
                <w:szCs w:val="14"/>
              </w:rPr>
              <w:object>
                <v:shape id="ole_rId14" style="width:51.75pt;height:42pt" o:ole="">
                  <v:imagedata r:id="rId15" o:title=""/>
                </v:shape>
                <o:OLEObject Type="Embed" ProgID="PBrush" ShapeID="ole_rId14" DrawAspect="Content" ObjectID="_1126666139" r:id="rId14"/>
              </w:object>
              <mc:AlternateContent>
                <mc:Choice Requires="wps">
                  <w:drawing>
                    <wp:anchor behindDoc="0" distT="0" distB="0" distL="114300" distR="114300" simplePos="0" locked="0" layoutInCell="1" allowOverlap="1" relativeHeight="5">
                      <wp:simplePos x="0" y="0"/>
                      <wp:positionH relativeFrom="column">
                        <wp:posOffset>635</wp:posOffset>
                      </wp:positionH>
                      <wp:positionV relativeFrom="paragraph">
                        <wp:posOffset>635</wp:posOffset>
                      </wp:positionV>
                      <wp:extent cx="635635" cy="635635"/>
                      <wp:effectExtent l="0" t="0" r="0" b="0"/>
                      <wp:wrapNone/>
                      <wp:docPr id="9"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sz w:val="14"/>
                <w:szCs w:val="14"/>
              </w:rPr>
              <w:object>
                <v:shape id="ole_rId16" style="width:49.5pt;height:40.5pt" o:ole="">
                  <v:imagedata r:id="rId17" o:title=""/>
                </v:shape>
                <o:OLEObject Type="Embed" ProgID="PBrush" ShapeID="ole_rId16" DrawAspect="Content" ObjectID="_1001828844" r:id="rId16"/>
              </w:object>
              <mc:AlternateContent>
                <mc:Choice Requires="wps">
                  <w:drawing>
                    <wp:anchor behindDoc="0" distT="0" distB="0" distL="114300" distR="114300" simplePos="0" locked="0" layoutInCell="1" allowOverlap="1" relativeHeight="6">
                      <wp:simplePos x="0" y="0"/>
                      <wp:positionH relativeFrom="column">
                        <wp:posOffset>635</wp:posOffset>
                      </wp:positionH>
                      <wp:positionV relativeFrom="paragraph">
                        <wp:posOffset>635</wp:posOffset>
                      </wp:positionV>
                      <wp:extent cx="635635" cy="635635"/>
                      <wp:effectExtent l="0" t="0" r="0" b="0"/>
                      <wp:wrapNone/>
                      <wp:docPr id="10"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sz w:val="14"/>
                <w:szCs w:val="14"/>
              </w:rPr>
              <w:object>
                <v:shape id="ole_rId18" style="width:49.5pt;height:42pt" o:ole="">
                  <v:imagedata r:id="rId19" o:title=""/>
                </v:shape>
                <o:OLEObject Type="Embed" ProgID="PBrush" ShapeID="ole_rId18" DrawAspect="Content" ObjectID="_435639403" r:id="rId18"/>
              </w:object>
              <mc:AlternateContent>
                <mc:Choice Requires="wps">
                  <w:drawing>
                    <wp:anchor behindDoc="0" distT="0" distB="0" distL="114300" distR="114300" simplePos="0" locked="0" layoutInCell="1" allowOverlap="1" relativeHeight="7">
                      <wp:simplePos x="0" y="0"/>
                      <wp:positionH relativeFrom="column">
                        <wp:posOffset>635</wp:posOffset>
                      </wp:positionH>
                      <wp:positionV relativeFrom="paragraph">
                        <wp:posOffset>635</wp:posOffset>
                      </wp:positionV>
                      <wp:extent cx="635635" cy="635635"/>
                      <wp:effectExtent l="0" t="0" r="0" b="0"/>
                      <wp:wrapNone/>
                      <wp:docPr id="11"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r>
      <w:tr>
        <w:trPr/>
        <w:tc>
          <w:tcPr>
            <w:tcW w:w="170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rPr>
              <w:t>Эквивалентные параметры морфологии</w:t>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object>
                <v:shape id="ole_rId20" style="width:65.25pt;height:55.5pt" o:ole="">
                  <v:imagedata r:id="rId21" o:title=""/>
                </v:shape>
                <o:OLEObject Type="Embed" ProgID="PBrush" ShapeID="ole_rId20" DrawAspect="Content" ObjectID="_862161170" r:id="rId20"/>
              </w:object>
              <mc:AlternateContent>
                <mc:Choice Requires="wps">
                  <w:drawing>
                    <wp:anchor behindDoc="0" distT="0" distB="0" distL="114300" distR="114300" simplePos="0" locked="0" layoutInCell="1" allowOverlap="1" relativeHeight="8">
                      <wp:simplePos x="0" y="0"/>
                      <wp:positionH relativeFrom="column">
                        <wp:posOffset>635</wp:posOffset>
                      </wp:positionH>
                      <wp:positionV relativeFrom="paragraph">
                        <wp:posOffset>635</wp:posOffset>
                      </wp:positionV>
                      <wp:extent cx="635635" cy="635635"/>
                      <wp:effectExtent l="0" t="0" r="0" b="0"/>
                      <wp:wrapNone/>
                      <wp:docPr id="12"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object>
                <v:shape id="ole_rId22" style="width:68.25pt;height:57pt" o:ole="">
                  <v:imagedata r:id="rId23" o:title=""/>
                </v:shape>
                <o:OLEObject Type="Embed" ProgID="PBrush" ShapeID="ole_rId22" DrawAspect="Content" ObjectID="_689779736" r:id="rId22"/>
              </w:object>
              <mc:AlternateContent>
                <mc:Choice Requires="wps">
                  <w:drawing>
                    <wp:anchor behindDoc="0" distT="0" distB="0" distL="114300" distR="114300" simplePos="0" locked="0" layoutInCell="1" allowOverlap="1" relativeHeight="9">
                      <wp:simplePos x="0" y="0"/>
                      <wp:positionH relativeFrom="column">
                        <wp:posOffset>635</wp:posOffset>
                      </wp:positionH>
                      <wp:positionV relativeFrom="paragraph">
                        <wp:posOffset>635</wp:posOffset>
                      </wp:positionV>
                      <wp:extent cx="635635" cy="635635"/>
                      <wp:effectExtent l="0" t="0" r="0" b="0"/>
                      <wp:wrapNone/>
                      <wp:docPr id="13"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object>
                <v:shape id="ole_rId24" style="width:49.5pt;height:53.25pt" o:ole="">
                  <v:imagedata r:id="rId25" o:title=""/>
                </v:shape>
                <o:OLEObject Type="Embed" ProgID="PBrush" ShapeID="ole_rId24" DrawAspect="Content" ObjectID="_736986610" r:id="rId24"/>
              </w:object>
              <mc:AlternateContent>
                <mc:Choice Requires="wps">
                  <w:drawing>
                    <wp:anchor behindDoc="0" distT="0" distB="0" distL="114300" distR="114300" simplePos="0" locked="0" layoutInCell="1" allowOverlap="1" relativeHeight="10">
                      <wp:simplePos x="0" y="0"/>
                      <wp:positionH relativeFrom="column">
                        <wp:posOffset>635</wp:posOffset>
                      </wp:positionH>
                      <wp:positionV relativeFrom="paragraph">
                        <wp:posOffset>635</wp:posOffset>
                      </wp:positionV>
                      <wp:extent cx="635635" cy="635635"/>
                      <wp:effectExtent l="0" t="0" r="0" b="0"/>
                      <wp:wrapNone/>
                      <wp:docPr id="14"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object>
                <v:shape id="ole_rId26" style="width:65.25pt;height:57pt" o:ole="">
                  <v:imagedata r:id="rId27" o:title=""/>
                </v:shape>
                <o:OLEObject Type="Embed" ProgID="PBrush" ShapeID="ole_rId26" DrawAspect="Content" ObjectID="_972826859" r:id="rId26"/>
              </w:object>
              <mc:AlternateContent>
                <mc:Choice Requires="wps">
                  <w:drawing>
                    <wp:anchor behindDoc="0" distT="0" distB="0" distL="114300" distR="114300" simplePos="0" locked="0" layoutInCell="1" allowOverlap="1" relativeHeight="11">
                      <wp:simplePos x="0" y="0"/>
                      <wp:positionH relativeFrom="column">
                        <wp:posOffset>635</wp:posOffset>
                      </wp:positionH>
                      <wp:positionV relativeFrom="paragraph">
                        <wp:posOffset>635</wp:posOffset>
                      </wp:positionV>
                      <wp:extent cx="635635" cy="635635"/>
                      <wp:effectExtent l="0" t="0" r="0" b="0"/>
                      <wp:wrapNone/>
                      <wp:docPr id="15"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r>
      <w:tr>
        <w:trPr/>
        <w:tc>
          <w:tcPr>
            <w:tcW w:w="170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4"/>
                <w:szCs w:val="14"/>
              </w:rPr>
            </w:pPr>
            <w:r>
              <w:rPr>
                <w:rFonts w:cs="Arial" w:ascii="Arial" w:hAnsi="Arial"/>
                <w:sz w:val="14"/>
                <w:szCs w:val="14"/>
              </w:rPr>
            </w:r>
          </w:p>
        </w:tc>
        <w:tc>
          <w:tcPr>
            <w:tcW w:w="129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sz w:val="14"/>
                <w:szCs w:val="14"/>
              </w:rPr>
              <w:object>
                <v:shape id="ole_rId28" style="width:42.75pt;height:9pt" o:ole="">
                  <v:imagedata r:id="rId29" o:title=""/>
                </v:shape>
                <o:OLEObject Type="Embed" ProgID="PBrush" ShapeID="ole_rId28" DrawAspect="Content" ObjectID="_632223949" r:id="rId28"/>
              </w:object>
              <mc:AlternateContent>
                <mc:Choice Requires="wps">
                  <w:drawing>
                    <wp:anchor behindDoc="0" distT="0" distB="0" distL="114300" distR="114300" simplePos="0" locked="0" layoutInCell="1" allowOverlap="1" relativeHeight="12">
                      <wp:simplePos x="0" y="0"/>
                      <wp:positionH relativeFrom="column">
                        <wp:posOffset>635</wp:posOffset>
                      </wp:positionH>
                      <wp:positionV relativeFrom="paragraph">
                        <wp:posOffset>635</wp:posOffset>
                      </wp:positionV>
                      <wp:extent cx="635635" cy="635635"/>
                      <wp:effectExtent l="0" t="0" r="0" b="0"/>
                      <wp:wrapNone/>
                      <wp:docPr id="16"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481"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rFonts w:cs="Arial" w:ascii="Arial" w:hAnsi="Arial"/>
                <w:sz w:val="14"/>
                <w:szCs w:val="14"/>
              </w:rPr>
              <w:t>Действительный периметр</w:t>
            </w:r>
          </w:p>
        </w:tc>
        <w:tc>
          <w:tcPr>
            <w:tcW w:w="1221"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sz w:val="14"/>
                <w:szCs w:val="14"/>
              </w:rPr>
              <w:object>
                <v:shape id="ole_rId30" style="width:42.75pt;height:9.75pt" o:ole="">
                  <v:imagedata r:id="rId31" o:title=""/>
                </v:shape>
                <o:OLEObject Type="Embed" ProgID="PBrush" ShapeID="ole_rId30" DrawAspect="Content" ObjectID="_1384776092" r:id="rId30"/>
              </w:object>
              <mc:AlternateContent>
                <mc:Choice Requires="wps">
                  <w:drawing>
                    <wp:anchor behindDoc="0" distT="0" distB="0" distL="114300" distR="114300" simplePos="0" locked="0" layoutInCell="1" allowOverlap="1" relativeHeight="13">
                      <wp:simplePos x="0" y="0"/>
                      <wp:positionH relativeFrom="column">
                        <wp:posOffset>635</wp:posOffset>
                      </wp:positionH>
                      <wp:positionV relativeFrom="paragraph">
                        <wp:posOffset>635</wp:posOffset>
                      </wp:positionV>
                      <wp:extent cx="635635" cy="635635"/>
                      <wp:effectExtent l="0" t="0" r="0" b="0"/>
                      <wp:wrapNone/>
                      <wp:docPr id="17"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33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rFonts w:cs="Arial" w:ascii="Arial" w:hAnsi="Arial"/>
                <w:sz w:val="14"/>
                <w:szCs w:val="14"/>
              </w:rPr>
              <w:t>Сглаженный периметр</w:t>
            </w:r>
          </w:p>
        </w:tc>
        <w:tc>
          <w:tcPr>
            <w:tcW w:w="119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sz w:val="14"/>
                <w:szCs w:val="14"/>
              </w:rPr>
              <w:object>
                <v:shape id="ole_rId32" style="width:44.25pt;height:11.25pt" o:ole="">
                  <v:imagedata r:id="rId33" o:title=""/>
                </v:shape>
                <o:OLEObject Type="Embed" ProgID="PBrush" ShapeID="ole_rId32" DrawAspect="Content" ObjectID="_226396867" r:id="rId32"/>
              </w:object>
              <mc:AlternateContent>
                <mc:Choice Requires="wps">
                  <w:drawing>
                    <wp:anchor behindDoc="0" distT="0" distB="0" distL="114300" distR="114300" simplePos="0" locked="0" layoutInCell="1" allowOverlap="1" relativeHeight="14">
                      <wp:simplePos x="0" y="0"/>
                      <wp:positionH relativeFrom="column">
                        <wp:posOffset>635</wp:posOffset>
                      </wp:positionH>
                      <wp:positionV relativeFrom="paragraph">
                        <wp:posOffset>635</wp:posOffset>
                      </wp:positionV>
                      <wp:extent cx="635635" cy="635635"/>
                      <wp:effectExtent l="0" t="0" r="0" b="0"/>
                      <wp:wrapNone/>
                      <wp:docPr id="18" name=""/>
                      <a:graphic xmlns:a="http://schemas.openxmlformats.org/drawingml/2006/main">
                        <a:graphicData uri="http://schemas.microsoft.com/office/word/2010/wordprocessingShape">
                          <wps:wsp>
                            <wps:cNvSpPr/>
                            <wps:spPr>
                              <a:xfrm>
                                <a:off x="0" y="0"/>
                                <a:ext cx="635040" cy="635040"/>
                              </a:xfrm>
                              <a:prstGeom prst="rect">
                                <a:avLst/>
                              </a:prstGeom>
                              <a:noFill/>
                              <a:ln>
                                <a:noFill/>
                              </a:ln>
                            </wps:spPr>
                            <wps:style>
                              <a:lnRef idx="0"/>
                              <a:fillRef idx="0"/>
                              <a:effectRef idx="0"/>
                              <a:fontRef idx="minor"/>
                            </wps:style>
                            <wps:bodyPr/>
                          </wps:wsp>
                        </a:graphicData>
                      </a:graphic>
                    </wp:anchor>
                  </w:drawing>
                </mc:Choice>
                <mc:Fallback>
                  <w:pict>
                    <v:shape id="shape_0" stroked="f" style="position:absolute;margin-left:0.05pt;margin-top:0pt;width:49.95pt;height:49.95pt" type="shapetype_75">
                      <w10:wrap type="none"/>
                      <v:fill o:detectmouseclick="t" on="false"/>
                      <v:stroke color="#3465a4" joinstyle="round" endcap="flat"/>
                    </v:shape>
                  </w:pict>
                </mc:Fallback>
              </mc:AlternateContent>
            </w:r>
          </w:p>
        </w:tc>
        <w:tc>
          <w:tcPr>
            <w:tcW w:w="13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6"/>
                <w:szCs w:val="16"/>
              </w:rPr>
            </w:pPr>
            <w:r>
              <w:rPr>
                <w:rFonts w:cs="Arial" w:ascii="Arial" w:hAnsi="Arial"/>
                <w:sz w:val="14"/>
                <w:szCs w:val="14"/>
              </w:rPr>
              <w:t>Эквивалентная круглая частица</w:t>
            </w:r>
          </w:p>
        </w:tc>
      </w:tr>
      <w:tr>
        <w:trPr/>
        <w:tc>
          <w:tcPr>
            <w:tcW w:w="1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lang w:val="en-US"/>
              </w:rPr>
            </w:pPr>
            <w:r>
              <w:rPr>
                <w:rFonts w:cs="Arial" w:ascii="Arial" w:hAnsi="Arial"/>
                <w:sz w:val="14"/>
                <w:szCs w:val="14"/>
              </w:rPr>
              <w:t>Окргулость</w:t>
            </w:r>
            <w:r>
              <w:rPr>
                <w:rFonts w:cs="Arial" w:ascii="Arial" w:hAnsi="Arial"/>
                <w:sz w:val="14"/>
                <w:szCs w:val="14"/>
                <w:vertAlign w:val="superscript"/>
                <w:lang w:val="en-US"/>
              </w:rPr>
              <w:t>a</w:t>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1</w: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lang w:val="en-US"/>
              </w:rPr>
            </w:pPr>
            <w:r>
              <w:rPr>
                <w:rFonts w:cs="Arial" w:ascii="Arial" w:hAnsi="Arial"/>
                <w:sz w:val="14"/>
                <w:szCs w:val="14"/>
                <w:lang w:val="en-US"/>
              </w:rPr>
              <w:t>&lt;1</w: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lang w:val="en-US"/>
              </w:rPr>
              <w:t>&lt;&lt;1</w: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&lt;1</w:t>
            </w:r>
          </w:p>
        </w:tc>
      </w:tr>
      <w:tr>
        <w:trPr/>
        <w:tc>
          <w:tcPr>
            <w:tcW w:w="1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lang w:val="en-US"/>
              </w:rPr>
            </w:pPr>
            <w:r>
              <w:rPr>
                <w:rFonts w:cs="Arial" w:ascii="Arial" w:hAnsi="Arial"/>
                <w:sz w:val="14"/>
                <w:szCs w:val="14"/>
              </w:rPr>
              <w:t>Фактор формы</w:t>
            </w:r>
            <w:r>
              <w:rPr>
                <w:rFonts w:cs="Arial" w:ascii="Arial" w:hAnsi="Arial"/>
                <w:sz w:val="14"/>
                <w:szCs w:val="14"/>
                <w:vertAlign w:val="superscript"/>
                <w:lang w:val="en-US"/>
              </w:rPr>
              <w:t>b</w:t>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1</w: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lang w:val="en-US"/>
              </w:rPr>
              <w:t>&lt;1</w: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lang w:val="en-US"/>
              </w:rPr>
              <w:t>&lt;&lt;1</w: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18"/>
                <w:szCs w:val="18"/>
              </w:rPr>
            </w:pPr>
            <w:r>
              <w:rPr>
                <w:rFonts w:cs="Arial" w:ascii="Arial" w:hAnsi="Arial"/>
                <w:sz w:val="14"/>
                <w:szCs w:val="14"/>
              </w:rPr>
              <w:t>Зависит от размера и расположения частиц сателлитов</w:t>
            </w:r>
          </w:p>
        </w:tc>
      </w:tr>
      <w:tr>
        <w:trPr/>
        <w:tc>
          <w:tcPr>
            <w:tcW w:w="1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lang w:val="en-US"/>
              </w:rPr>
            </w:pPr>
            <w:r>
              <w:rPr>
                <w:rFonts w:cs="Arial" w:ascii="Arial" w:hAnsi="Arial"/>
                <w:sz w:val="14"/>
                <w:szCs w:val="14"/>
              </w:rPr>
              <w:t>Выпуклость</w:t>
            </w:r>
            <w:r>
              <w:rPr>
                <w:rFonts w:cs="Arial" w:ascii="Arial" w:hAnsi="Arial"/>
                <w:sz w:val="14"/>
                <w:szCs w:val="14"/>
                <w:vertAlign w:val="superscript"/>
                <w:lang w:val="en-US"/>
              </w:rPr>
              <w:t>c</w:t>
            </w:r>
          </w:p>
        </w:tc>
        <w:tc>
          <w:tcPr>
            <w:tcW w:w="2013"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~1</w:t>
            </w:r>
          </w:p>
        </w:tc>
        <w:tc>
          <w:tcPr>
            <w:tcW w:w="1986"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~1</w:t>
            </w:r>
          </w:p>
        </w:tc>
        <w:tc>
          <w:tcPr>
            <w:tcW w:w="20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rPr>
              <w:t>~1</w:t>
            </w:r>
          </w:p>
        </w:tc>
        <w:tc>
          <w:tcPr>
            <w:tcW w:w="191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before="0" w:after="200"/>
              <w:jc w:val="center"/>
              <w:rPr>
                <w:rFonts w:ascii="Arial" w:hAnsi="Arial" w:cs="Arial"/>
                <w:sz w:val="20"/>
                <w:szCs w:val="20"/>
              </w:rPr>
            </w:pPr>
            <w:r>
              <w:rPr>
                <w:rFonts w:cs="Arial" w:ascii="Arial" w:hAnsi="Arial"/>
                <w:sz w:val="14"/>
                <w:szCs w:val="14"/>
                <w:lang w:val="en-US"/>
              </w:rPr>
              <w:t>&lt;1</w:t>
            </w:r>
          </w:p>
        </w:tc>
      </w:tr>
      <w:tr>
        <w:trPr>
          <w:trHeight w:val="386" w:hRule="atLeast"/>
        </w:trPr>
        <w:tc>
          <w:tcPr>
            <w:tcW w:w="9627" w:type="dxa"/>
            <w:gridSpan w:val="11"/>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jc w:val="both"/>
              <w:rPr>
                <w:rFonts w:ascii="Arial" w:hAnsi="Arial" w:cs="Arial"/>
                <w:sz w:val="28"/>
                <w:szCs w:val="28"/>
                <w:lang w:val="en-US"/>
              </w:rPr>
            </w:pPr>
            <w:r>
              <w:rPr>
                <w:rFonts w:cs="Arial" w:ascii="Arial" w:hAnsi="Arial"/>
                <w:sz w:val="14"/>
                <w:szCs w:val="14"/>
                <w:vertAlign w:val="superscript"/>
                <w:lang w:val="en-US"/>
              </w:rPr>
              <w:t>a</w:t>
            </w:r>
            <w:r>
              <w:rPr>
                <w:rFonts w:cs="Arial" w:ascii="Arial" w:hAnsi="Arial"/>
                <w:sz w:val="14"/>
                <w:szCs w:val="14"/>
                <w:lang w:val="en-US"/>
              </w:rPr>
              <w:t xml:space="preserve"> </w:t>
            </w:r>
            <w:r>
              <w:rPr>
                <w:sz w:val="14"/>
                <w:szCs w:val="14"/>
              </w:rPr>
            </w:r>
            <m:oMath xmlns:m="http://schemas.openxmlformats.org/officeDocument/2006/math">
              <m:r>
                <w:rPr>
                  <w:rFonts w:ascii="Cambria Math" w:hAnsi="Cambria Math"/>
                </w:rPr>
                <m:t xml:space="preserve">Округлость</m:t>
              </m:r>
              <m:r>
                <w:rPr>
                  <w:rFonts w:ascii="Cambria Math" w:hAnsi="Cambria Math"/>
                </w:rPr>
                <m:t xml:space="preserve">=</m:t>
              </m:r>
              <m:f>
                <m:num>
                  <m:r>
                    <w:rPr>
                      <w:rFonts w:ascii="Cambria Math" w:hAnsi="Cambria Math"/>
                    </w:rPr>
                    <m:t xml:space="preserve">Периметр</m:t>
                  </m:r>
                  <m:r>
                    <w:rPr>
                      <w:rFonts w:ascii="Cambria Math" w:hAnsi="Cambria Math"/>
                    </w:rPr>
                    <m:t xml:space="preserve">частицы</m:t>
                  </m:r>
                </m:num>
                <m:den>
                  <m:r>
                    <w:rPr>
                      <w:rFonts w:ascii="Cambria Math" w:hAnsi="Cambria Math"/>
                    </w:rPr>
                    <m:t xml:space="preserve">Периметр</m:t>
                  </m:r>
                  <m:r>
                    <w:rPr>
                      <w:rFonts w:ascii="Cambria Math" w:hAnsi="Cambria Math"/>
                    </w:rPr>
                    <m:t xml:space="preserve">эквивалентной</m:t>
                  </m:r>
                  <m:r>
                    <w:rPr>
                      <w:rFonts w:ascii="Cambria Math" w:hAnsi="Cambria Math"/>
                    </w:rPr>
                    <m:t xml:space="preserve">круглой</m:t>
                  </m:r>
                  <m:r>
                    <w:rPr>
                      <w:rFonts w:ascii="Cambria Math" w:hAnsi="Cambria Math"/>
                    </w:rPr>
                    <m:t xml:space="preserve">частицы</m:t>
                  </m:r>
                </m:den>
              </m:f>
            </m:oMath>
          </w:p>
          <w:p>
            <w:pPr>
              <w:pStyle w:val="Normal"/>
              <w:widowControl w:val="false"/>
              <w:jc w:val="both"/>
              <w:rPr>
                <w:rFonts w:ascii="Arial" w:hAnsi="Arial" w:cs="Arial"/>
                <w:sz w:val="14"/>
                <w:szCs w:val="14"/>
                <w:lang w:val="en-US"/>
              </w:rPr>
            </w:pPr>
            <w:r>
              <w:rPr>
                <w:rFonts w:cs="Arial" w:ascii="Arial" w:hAnsi="Arial"/>
                <w:sz w:val="14"/>
                <w:szCs w:val="14"/>
                <w:lang w:val="en-US"/>
              </w:rPr>
            </w:r>
          </w:p>
          <w:p>
            <w:pPr>
              <w:pStyle w:val="Normal"/>
              <w:widowControl w:val="false"/>
              <w:jc w:val="both"/>
              <w:rPr>
                <w:rFonts w:ascii="Arial" w:hAnsi="Arial" w:cs="Arial"/>
                <w:sz w:val="20"/>
                <w:szCs w:val="20"/>
                <w:lang w:val="en-US"/>
              </w:rPr>
            </w:pPr>
            <w:r>
              <w:rPr>
                <w:rFonts w:cs="Arial" w:ascii="Arial" w:hAnsi="Arial"/>
                <w:sz w:val="14"/>
                <w:szCs w:val="14"/>
                <w:vertAlign w:val="superscript"/>
                <w:lang w:val="en-US"/>
              </w:rPr>
              <w:t>b</w:t>
            </w:r>
            <w:r>
              <w:rPr>
                <w:rFonts w:cs="Arial" w:ascii="Arial" w:hAnsi="Arial"/>
                <w:sz w:val="14"/>
                <w:szCs w:val="14"/>
                <w:lang w:val="en-US"/>
              </w:rPr>
              <w:t xml:space="preserve"> </w:t>
            </w:r>
            <w:r>
              <w:rPr>
                <w:sz w:val="14"/>
                <w:szCs w:val="14"/>
              </w:rPr>
            </w:r>
            <m:oMath xmlns:m="http://schemas.openxmlformats.org/officeDocument/2006/math">
              <m:r>
                <w:rPr>
                  <w:rFonts w:ascii="Cambria Math" w:hAnsi="Cambria Math"/>
                </w:rPr>
                <m:t xml:space="preserve">Фактор</m:t>
              </m:r>
              <m:r>
                <w:rPr>
                  <w:rFonts w:ascii="Cambria Math" w:hAnsi="Cambria Math"/>
                </w:rPr>
                <m:t xml:space="preserve">формы</m:t>
              </m:r>
              <m:r>
                <w:rPr>
                  <w:rFonts w:ascii="Cambria Math" w:hAnsi="Cambria Math"/>
                </w:rPr>
                <m:t xml:space="preserve">=</m:t>
              </m:r>
              <m:f>
                <m:num>
                  <m:r>
                    <w:rPr>
                      <w:rFonts w:ascii="Cambria Math" w:hAnsi="Cambria Math"/>
                    </w:rPr>
                    <m:t xml:space="preserve">Ширина</m:t>
                  </m:r>
                </m:num>
                <m:den>
                  <m:r>
                    <w:rPr>
                      <w:rFonts w:ascii="Cambria Math" w:hAnsi="Cambria Math"/>
                    </w:rPr>
                    <m:t xml:space="preserve">Длина</m:t>
                  </m:r>
                </m:den>
              </m:f>
            </m:oMath>
          </w:p>
          <w:p>
            <w:pPr>
              <w:pStyle w:val="Normal"/>
              <w:widowControl w:val="false"/>
              <w:jc w:val="both"/>
              <w:rPr>
                <w:rFonts w:ascii="Arial" w:hAnsi="Arial" w:cs="Arial"/>
                <w:sz w:val="14"/>
                <w:szCs w:val="14"/>
                <w:lang w:val="en-US"/>
              </w:rPr>
            </w:pPr>
            <w:r>
              <w:rPr>
                <w:rFonts w:cs="Arial" w:ascii="Arial" w:hAnsi="Arial"/>
                <w:sz w:val="14"/>
                <w:szCs w:val="14"/>
                <w:lang w:val="en-US"/>
              </w:rPr>
            </w:r>
          </w:p>
          <w:p>
            <w:pPr>
              <w:pStyle w:val="Normal"/>
              <w:widowControl w:val="false"/>
              <w:jc w:val="both"/>
              <w:rPr>
                <w:rFonts w:ascii="Arial" w:hAnsi="Arial" w:cs="Arial"/>
                <w:sz w:val="20"/>
                <w:szCs w:val="20"/>
                <w:lang w:val="en-US"/>
              </w:rPr>
            </w:pPr>
            <w:r>
              <w:rPr>
                <w:rFonts w:cs="Arial" w:ascii="Arial" w:hAnsi="Arial"/>
                <w:sz w:val="14"/>
                <w:szCs w:val="14"/>
                <w:vertAlign w:val="superscript"/>
                <w:lang w:val="en-US"/>
              </w:rPr>
              <w:t>c</w:t>
            </w:r>
            <w:r>
              <w:rPr>
                <w:rFonts w:cs="Arial" w:ascii="Arial" w:hAnsi="Arial"/>
                <w:sz w:val="14"/>
                <w:szCs w:val="14"/>
                <w:lang w:val="en-US"/>
              </w:rPr>
              <w:t xml:space="preserve">  </w:t>
            </w:r>
            <w:r>
              <w:rPr>
                <w:sz w:val="14"/>
                <w:szCs w:val="14"/>
              </w:rPr>
            </w:r>
            <m:oMath xmlns:m="http://schemas.openxmlformats.org/officeDocument/2006/math">
              <m:r>
                <w:rPr>
                  <w:rFonts w:ascii="Cambria Math" w:hAnsi="Cambria Math"/>
                </w:rPr>
                <m:t xml:space="preserve">Выпуклость</m:t>
              </m:r>
              <m:r>
                <w:rPr>
                  <w:rFonts w:ascii="Cambria Math" w:hAnsi="Cambria Math"/>
                </w:rPr>
                <m:t xml:space="preserve">=</m:t>
              </m:r>
              <m:f>
                <m:num>
                  <m:r>
                    <w:rPr>
                      <w:rFonts w:ascii="Cambria Math" w:hAnsi="Cambria Math"/>
                    </w:rPr>
                    <m:t xml:space="preserve">Сглаженный</m:t>
                  </m:r>
                  <m:r>
                    <w:rPr>
                      <w:rFonts w:ascii="Cambria Math" w:hAnsi="Cambria Math"/>
                    </w:rPr>
                    <m:t xml:space="preserve">периметр</m:t>
                  </m:r>
                </m:num>
                <m:den>
                  <m:r>
                    <w:rPr>
                      <w:rFonts w:ascii="Cambria Math" w:hAnsi="Cambria Math"/>
                    </w:rPr>
                    <m:t xml:space="preserve">Периметр</m:t>
                  </m:r>
                  <m:r>
                    <w:rPr>
                      <w:rFonts w:ascii="Cambria Math" w:hAnsi="Cambria Math"/>
                    </w:rPr>
                    <m:t xml:space="preserve">частицы</m:t>
                  </m:r>
                </m:den>
              </m:f>
            </m:oMath>
          </w:p>
          <w:p>
            <w:pPr>
              <w:pStyle w:val="Normal"/>
              <w:widowControl w:val="false"/>
              <w:spacing w:before="0" w:after="200"/>
              <w:jc w:val="both"/>
              <w:rPr>
                <w:rFonts w:ascii="Arial" w:hAnsi="Arial" w:cs="Arial"/>
                <w:sz w:val="20"/>
                <w:szCs w:val="20"/>
                <w:lang w:val="en-US"/>
              </w:rPr>
            </w:pPr>
            <w:r>
              <w:rPr>
                <w:rFonts w:cs="Arial" w:ascii="Arial" w:hAnsi="Arial"/>
                <w:sz w:val="14"/>
                <w:szCs w:val="14"/>
                <w:lang w:val="en-US"/>
              </w:rPr>
              <w:t xml:space="preserve"> </w:t>
            </w:r>
          </w:p>
        </w:tc>
      </w:tr>
      <w:tr>
        <w:trPr>
          <w:trHeight w:val="3195" w:hRule="atLeast"/>
        </w:trPr>
        <w:tc>
          <w:tcPr>
            <w:tcW w:w="4835" w:type="dxa"/>
            <w:gridSpan w:val="5"/>
            <w:tcBorders>
              <w:top w:val="single" w:sz="4" w:space="0" w:color="000000"/>
              <w:left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drawing>
                <wp:inline distT="0" distB="0" distL="0" distR="0">
                  <wp:extent cx="2587625" cy="2182495"/>
                  <wp:effectExtent l="0" t="0" r="0" b="0"/>
                  <wp:docPr id="1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 descr=""/>
                          <pic:cNvPicPr>
                            <a:picLocks noChangeAspect="1" noChangeArrowheads="1"/>
                          </pic:cNvPicPr>
                        </pic:nvPicPr>
                        <pic:blipFill>
                          <a:blip r:embed="rId34"/>
                          <a:stretch>
                            <a:fillRect/>
                          </a:stretch>
                        </pic:blipFill>
                        <pic:spPr bwMode="auto">
                          <a:xfrm>
                            <a:off x="0" y="0"/>
                            <a:ext cx="2587625" cy="2182495"/>
                          </a:xfrm>
                          <a:prstGeom prst="rect">
                            <a:avLst/>
                          </a:prstGeom>
                        </pic:spPr>
                      </pic:pic>
                    </a:graphicData>
                  </a:graphic>
                </wp:inline>
              </w:drawing>
            </w:r>
          </w:p>
        </w:tc>
        <w:tc>
          <w:tcPr>
            <w:tcW w:w="4792" w:type="dxa"/>
            <w:gridSpan w:val="6"/>
            <w:tcBorders>
              <w:top w:val="single" w:sz="4" w:space="0" w:color="000000"/>
              <w:left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drawing>
                <wp:inline distT="0" distB="0" distL="0" distR="0">
                  <wp:extent cx="2720975" cy="1950720"/>
                  <wp:effectExtent l="0" t="0" r="0" b="0"/>
                  <wp:docPr id="20"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 descr=""/>
                          <pic:cNvPicPr>
                            <a:picLocks noChangeAspect="1" noChangeArrowheads="1"/>
                          </pic:cNvPicPr>
                        </pic:nvPicPr>
                        <pic:blipFill>
                          <a:blip r:embed="rId35"/>
                          <a:stretch>
                            <a:fillRect/>
                          </a:stretch>
                        </pic:blipFill>
                        <pic:spPr bwMode="auto">
                          <a:xfrm>
                            <a:off x="0" y="0"/>
                            <a:ext cx="2720975" cy="1950720"/>
                          </a:xfrm>
                          <a:prstGeom prst="rect">
                            <a:avLst/>
                          </a:prstGeom>
                        </pic:spPr>
                      </pic:pic>
                    </a:graphicData>
                  </a:graphic>
                </wp:inline>
              </w:drawing>
            </w:r>
          </w:p>
        </w:tc>
      </w:tr>
      <w:tr>
        <w:trPr>
          <w:trHeight w:val="107" w:hRule="atLeast"/>
        </w:trPr>
        <w:tc>
          <w:tcPr>
            <w:tcW w:w="4835" w:type="dxa"/>
            <w:gridSpan w:val="5"/>
            <w:tcBorders>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 xml:space="preserve">a) </w:t>
            </w:r>
            <w:r>
              <w:rPr>
                <w:rFonts w:cs="Arial" w:ascii="Arial" w:hAnsi="Arial"/>
                <w:sz w:val="14"/>
                <w:szCs w:val="14"/>
              </w:rPr>
              <w:t>Сферическая</w:t>
            </w:r>
          </w:p>
        </w:tc>
        <w:tc>
          <w:tcPr>
            <w:tcW w:w="4792" w:type="dxa"/>
            <w:gridSpan w:val="6"/>
            <w:tcBorders>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b)</w:t>
            </w:r>
            <w:r>
              <w:rPr>
                <w:rFonts w:cs="Arial" w:ascii="Arial" w:hAnsi="Arial"/>
                <w:sz w:val="14"/>
                <w:szCs w:val="14"/>
              </w:rPr>
              <w:t xml:space="preserve"> Округлая</w:t>
            </w:r>
          </w:p>
        </w:tc>
      </w:tr>
      <w:tr>
        <w:trPr>
          <w:trHeight w:val="107" w:hRule="atLeast"/>
        </w:trPr>
        <w:tc>
          <w:tcPr>
            <w:tcW w:w="4835" w:type="dxa"/>
            <w:gridSpan w:val="5"/>
            <w:tcBorders>
              <w:top w:val="single" w:sz="4" w:space="0" w:color="000000"/>
              <w:left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drawing>
                <wp:inline distT="0" distB="0" distL="0" distR="0">
                  <wp:extent cx="3155950" cy="2355215"/>
                  <wp:effectExtent l="0" t="0" r="0" b="0"/>
                  <wp:docPr id="2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 descr=""/>
                          <pic:cNvPicPr>
                            <a:picLocks noChangeAspect="1" noChangeArrowheads="1"/>
                          </pic:cNvPicPr>
                        </pic:nvPicPr>
                        <pic:blipFill>
                          <a:blip r:embed="rId36"/>
                          <a:stretch>
                            <a:fillRect/>
                          </a:stretch>
                        </pic:blipFill>
                        <pic:spPr bwMode="auto">
                          <a:xfrm>
                            <a:off x="0" y="0"/>
                            <a:ext cx="3155950" cy="2355215"/>
                          </a:xfrm>
                          <a:prstGeom prst="rect">
                            <a:avLst/>
                          </a:prstGeom>
                        </pic:spPr>
                      </pic:pic>
                    </a:graphicData>
                  </a:graphic>
                </wp:inline>
              </w:drawing>
            </w:r>
          </w:p>
        </w:tc>
        <w:tc>
          <w:tcPr>
            <w:tcW w:w="4792" w:type="dxa"/>
            <w:gridSpan w:val="6"/>
            <w:tcBorders>
              <w:top w:val="single" w:sz="4" w:space="0" w:color="000000"/>
              <w:left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sz w:val="14"/>
                <w:szCs w:val="14"/>
              </w:rPr>
              <w:drawing>
                <wp:inline distT="0" distB="0" distL="0" distR="0">
                  <wp:extent cx="3131185" cy="2345055"/>
                  <wp:effectExtent l="0" t="0" r="0" b="0"/>
                  <wp:docPr id="2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descr=""/>
                          <pic:cNvPicPr>
                            <a:picLocks noChangeAspect="1" noChangeArrowheads="1"/>
                          </pic:cNvPicPr>
                        </pic:nvPicPr>
                        <pic:blipFill>
                          <a:blip r:embed="rId37"/>
                          <a:stretch>
                            <a:fillRect/>
                          </a:stretch>
                        </pic:blipFill>
                        <pic:spPr bwMode="auto">
                          <a:xfrm>
                            <a:off x="0" y="0"/>
                            <a:ext cx="3131185" cy="2345055"/>
                          </a:xfrm>
                          <a:prstGeom prst="rect">
                            <a:avLst/>
                          </a:prstGeom>
                        </pic:spPr>
                      </pic:pic>
                    </a:graphicData>
                  </a:graphic>
                </wp:inline>
              </w:drawing>
            </w:r>
          </w:p>
        </w:tc>
      </w:tr>
      <w:tr>
        <w:trPr>
          <w:trHeight w:val="107" w:hRule="atLeast"/>
        </w:trPr>
        <w:tc>
          <w:tcPr>
            <w:tcW w:w="4835" w:type="dxa"/>
            <w:gridSpan w:val="5"/>
            <w:tcBorders>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 xml:space="preserve">c) </w:t>
            </w:r>
            <w:r>
              <w:rPr>
                <w:rFonts w:cs="Arial" w:ascii="Arial" w:hAnsi="Arial"/>
                <w:sz w:val="14"/>
                <w:szCs w:val="14"/>
              </w:rPr>
              <w:t>Продолговатая форма частиц</w:t>
            </w:r>
          </w:p>
        </w:tc>
        <w:tc>
          <w:tcPr>
            <w:tcW w:w="4792" w:type="dxa"/>
            <w:gridSpan w:val="6"/>
            <w:tcBorders>
              <w:left w:val="single" w:sz="4" w:space="0" w:color="000000"/>
              <w:bottom w:val="single" w:sz="4" w:space="0" w:color="000000"/>
              <w:right w:val="single" w:sz="4" w:space="0" w:color="000000"/>
            </w:tcBorders>
            <w:shd w:fill="auto" w:val="clear"/>
          </w:tcPr>
          <w:p>
            <w:pPr>
              <w:pStyle w:val="Normal"/>
              <w:widowControl w:val="false"/>
              <w:spacing w:before="0" w:after="200"/>
              <w:jc w:val="both"/>
              <w:rPr>
                <w:rFonts w:ascii="Arial" w:hAnsi="Arial" w:cs="Arial"/>
                <w:sz w:val="20"/>
                <w:szCs w:val="20"/>
              </w:rPr>
            </w:pPr>
            <w:r>
              <w:rPr>
                <w:rFonts w:cs="Arial" w:ascii="Arial" w:hAnsi="Arial"/>
                <w:sz w:val="14"/>
                <w:szCs w:val="14"/>
                <w:lang w:val="en-US"/>
              </w:rPr>
              <w:t>d</w:t>
            </w:r>
            <w:r>
              <w:rPr>
                <w:rFonts w:cs="Arial" w:ascii="Arial" w:hAnsi="Arial"/>
                <w:sz w:val="14"/>
                <w:szCs w:val="14"/>
              </w:rPr>
              <w:t>) Округлая форма частиц с сателлитами</w:t>
            </w:r>
          </w:p>
        </w:tc>
      </w:tr>
    </w:tbl>
    <w:p>
      <w:pPr>
        <w:pStyle w:val="Normal"/>
        <w:widowControl w:val="false"/>
        <w:spacing w:before="120" w:after="0"/>
        <w:jc w:val="center"/>
        <w:rPr>
          <w:rFonts w:ascii="Arial" w:hAnsi="Arial" w:cs="Arial"/>
          <w:sz w:val="20"/>
          <w:szCs w:val="20"/>
        </w:rPr>
      </w:pPr>
      <w:r>
        <w:rPr>
          <w:rFonts w:cs="Arial" w:ascii="Arial" w:hAnsi="Arial"/>
          <w:sz w:val="14"/>
          <w:szCs w:val="14"/>
        </w:rPr>
        <w:t>Рисунок ДА.3 – Формы частиц и сателлиты</w:t>
      </w:r>
    </w:p>
    <w:p>
      <w:pPr>
        <w:pStyle w:val="Normal"/>
        <w:widowControl w:val="false"/>
        <w:spacing w:before="120" w:after="0"/>
        <w:jc w:val="center"/>
        <w:rPr>
          <w:rFonts w:ascii="Arial" w:hAnsi="Arial" w:cs="Arial"/>
          <w:b/>
          <w:b/>
          <w:sz w:val="14"/>
          <w:szCs w:val="14"/>
        </w:rPr>
      </w:pPr>
      <w:r>
        <w:rPr>
          <w:rFonts w:cs="Arial" w:ascii="Arial" w:hAnsi="Arial"/>
          <w:b/>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Форма частиц оказывает сильное влияние на характеристики текучести и способность формировать слой и, следовательно, на плотность слоя МПК, получаемого в установке синтеза на подложке.</w:t>
      </w:r>
    </w:p>
    <w:p>
      <w:pPr>
        <w:pStyle w:val="Normal"/>
        <w:widowControl w:val="false"/>
        <w:spacing w:lineRule="auto" w:line="360" w:before="0" w:after="0"/>
        <w:ind w:firstLine="709"/>
        <w:jc w:val="both"/>
        <w:rPr>
          <w:rFonts w:ascii="Arial" w:hAnsi="Arial" w:cs="Arial"/>
        </w:rPr>
      </w:pPr>
      <w:r>
        <w:rPr>
          <w:rFonts w:cs="Arial" w:ascii="Arial" w:hAnsi="Arial"/>
          <w:sz w:val="14"/>
          <w:szCs w:val="14"/>
        </w:rPr>
        <w:t>Основываясь на современных знаниях, считается, что сферические частицы лучше всего подходят для получения плотных, однородных слоев порошковой подложки. Таким образом, отклонение от сферичности является важной измеряемым параметром.</w:t>
      </w:r>
    </w:p>
    <w:p>
      <w:pPr>
        <w:pStyle w:val="Normal"/>
        <w:widowControl w:val="false"/>
        <w:spacing w:lineRule="auto" w:line="360" w:before="0" w:after="0"/>
        <w:ind w:firstLine="709"/>
        <w:jc w:val="both"/>
        <w:rPr>
          <w:rFonts w:ascii="Arial" w:hAnsi="Arial" w:cs="Arial"/>
          <w:sz w:val="20"/>
          <w:szCs w:val="20"/>
        </w:rPr>
      </w:pPr>
      <w:r>
        <w:rPr>
          <w:rFonts w:cs="Arial" w:ascii="Arial" w:hAnsi="Arial"/>
          <w:sz w:val="14"/>
          <w:szCs w:val="14"/>
        </w:rPr>
        <w:t>Для оценки формы и морфологии частиц МПК могут быть использованы методы, приведенные ниже. Методы, которые предоставляют наибольший объем информации, приведены первыми.</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5.7.2 Динамический анализ изображения</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Аналитические системы, применяемые для динамического анализа изображений в соответствии со стандартом ISO 13322-2, получают оптическое изображение, на основе которого определяют параметры формы частиц, например, отклонение от идеальной сферической формы частицы (см. 5.7).</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b/>
          <w:b/>
        </w:rPr>
      </w:pPr>
      <w:r>
        <w:rPr>
          <w:rFonts w:cs="Arial" w:ascii="Arial" w:hAnsi="Arial"/>
          <w:b/>
          <w:sz w:val="14"/>
          <w:szCs w:val="14"/>
        </w:rPr>
        <w:t>5.7.3</w:t>
      </w:r>
      <w:r>
        <w:rPr>
          <w:rFonts w:cs="Arial" w:ascii="Arial" w:hAnsi="Arial"/>
          <w:sz w:val="14"/>
          <w:szCs w:val="14"/>
        </w:rPr>
        <w:t xml:space="preserve"> </w:t>
      </w:r>
      <w:r>
        <w:rPr>
          <w:rFonts w:cs="Arial" w:ascii="Arial" w:hAnsi="Arial"/>
          <w:b/>
          <w:sz w:val="14"/>
          <w:szCs w:val="14"/>
        </w:rPr>
        <w:t>Анализ изображений, полученных с помощью сканирующей электронной микроскопии (</w:t>
      </w:r>
      <w:r>
        <w:rPr>
          <w:rFonts w:cs="Arial" w:ascii="Arial" w:hAnsi="Arial"/>
          <w:b/>
          <w:sz w:val="14"/>
          <w:szCs w:val="14"/>
          <w:lang w:val="en-US"/>
        </w:rPr>
        <w:t>SEM</w:t>
      </w:r>
      <w:r>
        <w:rPr>
          <w:rFonts w:cs="Arial" w:ascii="Arial" w:hAnsi="Arial"/>
          <w:b/>
          <w:sz w:val="14"/>
          <w:szCs w:val="14"/>
        </w:rPr>
        <w:t>)</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 xml:space="preserve">Изображения, полученные с помощью </w:t>
      </w:r>
      <w:r>
        <w:rPr>
          <w:rFonts w:cs="Arial" w:ascii="Arial" w:hAnsi="Arial"/>
          <w:sz w:val="14"/>
          <w:szCs w:val="14"/>
          <w:lang w:val="en-US"/>
        </w:rPr>
        <w:t>SEM</w:t>
      </w:r>
      <w:r>
        <w:rPr>
          <w:rFonts w:cs="Arial" w:ascii="Arial" w:hAnsi="Arial"/>
          <w:sz w:val="14"/>
          <w:szCs w:val="14"/>
        </w:rPr>
        <w:t>, наглядно показывают морфологии частиц и предоставляют возможность использовать их для обработки системой анализа изображений с целью получения количественных данных о морфологии частиц.</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5.7.4 Изображения, полученные с помощью оптической микроскопии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Для получения изображения с помощью оптической микроскопии требуется меньше подготовки, но из-за более низкого разрешения по сравнению с SEM, результаты дают меньше информации.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5.7.5 Определение удельной площади поверхности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Для измерения удельной поверхности используют различные средства измерения, основанные на методе Брунауэра, Эмметта и Теллера (метод БЭТ), см. ISO 9277 и ASTM B 922.</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При определении удельной площади поверхности МПК методом газовой адсорбции в соответствии со стандартом ISO 9277 газ, как правило азот, пропускают через исследуемый материал. Измеренное количество прошедшего газа с учетом процессов адсорбции и десорбции должно быть пропорционально общей удельной площади поверхности образца МПК.</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Этот метод можно использовать для косвенного сравнения поверхностей различных МПК. МПК со сферическими частицами имеют наименьшую удельную площадь поверхности.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Для МПК, широко применяемых в аддитивном производстве, доступен достаточно маленький набор справочных данных по данной характеристике.</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 Текучесть</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5.8.1 Общие положения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Текучесть - это характеристика, показывающая способность МПК перемещаться под действием силы тяжести либо свободно, либо под действием дополнительного приложенного усилия, например, на этапе получения/разравнивания слоя порошковой подложки. Требование к текучести для МПК важно для систем АП, которые используют трубопроводы и/или сопла для подачи МПК, а также механических устройств для создания тонких слоев, и необходимо для контроля технологического процесса.</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Когезия между частицами МПК количественно определяет степень межчастичного взаимодействия. При необходимости силы взаимодействия можно измерить с помощью методов порошковой реометрии (см. 5.8.6).</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Текучесть МПК зависит от множества факторов, основные из которых:</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1) гранулометрический состав МПК (см. 5.2);</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2) трение между частицами, на которое в основном влияет шероховатость поверхности частиц и их морфология (см. 5.7);</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3) силы когезии, обусловленные адсорбцией воды на поверхности частиц в результате конденсации (см. 5.9.1).</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Так как содержание влаги является ключевым фактором при определении текучести, при наличии требований заказчика/поставщика о необходимости просушивания МПК или его запрете, а также требований к методам определения текучести (см. 5.8.2), данные требования должны быть выполнены.</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Текучесть не всегда является надежным показателем способности формировать слой из-за других переменных, которые также влияют на растекаемость, таких как тип/скорость повторного нанесения слоя, толщина слоя и т.д.</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Методы с применением воронки (см. 5.8.2) в основном используют для оценки текучести МПК с учетом требований к системе подачи по трубопроводу/форсунке. Для определения требований как к прохождению через трубопроводы/системы подачи сопел, так и к способности формировать слой на поверхности осаждения могут быть использованы другие методы, например, вращающийся цилиндр.</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При необходимости для более точного определения способности формировать слой производитель может провести определение, воспроизводящее условия нанесения слоя в аддитивной установке.</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Текучесть должна быть определена для проверки:</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а) воспроизводимости формирования однородных слоев МПК и</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б) возможности транспортирования МПК в аддитивном оборудовании.</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На текучесть МПК влияют гранулометрический состав, морфология частиц, плотность материала и содержание влаги.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rPr>
      </w:pPr>
      <w:r>
        <w:rPr>
          <w:rFonts w:cs="Arial" w:ascii="Arial" w:hAnsi="Arial"/>
          <w:spacing w:val="40"/>
          <w:sz w:val="14"/>
          <w:szCs w:val="14"/>
        </w:rPr>
        <w:t>Примечание</w:t>
      </w:r>
      <w:r>
        <w:rPr>
          <w:rFonts w:cs="Arial" w:ascii="Arial" w:hAnsi="Arial"/>
          <w:sz w:val="14"/>
          <w:szCs w:val="14"/>
        </w:rPr>
        <w:t xml:space="preserve"> – Поскольку текучесть в значительной степени зависит от содержания влаги в МПК, рекомендуется дополнительно определить содержание влаги (см. 5.9.1).</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Результаты определения текучести сопоставимы только в том случае, если используется один и тот же метод испытаний. Для определения текучести МПК подходят методы, приведенные в подпунктах 5.8.2-5.8.7.</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В настоящее время нельзя однозначно рекомендовать использование какого-либо конкретного метода измерения текучести.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5.8.2 Определение скорости истечения</w:t>
      </w:r>
    </w:p>
    <w:p>
      <w:pPr>
        <w:pStyle w:val="Normal"/>
        <w:keepNext w:val="tru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 xml:space="preserve">5.8.2.1 При помощи калиброванной воронки в соответствии с </w:t>
      </w:r>
      <w:r>
        <w:rPr>
          <w:rFonts w:cs="Arial" w:ascii="Arial" w:hAnsi="Arial"/>
          <w:b/>
          <w:sz w:val="14"/>
          <w:szCs w:val="14"/>
          <w:lang w:val="en-US"/>
        </w:rPr>
        <w:t>ISO</w:t>
      </w:r>
      <w:r>
        <w:rPr>
          <w:rFonts w:cs="Arial" w:ascii="Arial" w:hAnsi="Arial"/>
          <w:b/>
          <w:sz w:val="14"/>
          <w:szCs w:val="14"/>
        </w:rPr>
        <w:t xml:space="preserve"> 4490 или </w:t>
      </w:r>
      <w:r>
        <w:rPr>
          <w:rFonts w:cs="Arial" w:ascii="Arial" w:hAnsi="Arial"/>
          <w:b/>
          <w:sz w:val="14"/>
          <w:szCs w:val="14"/>
          <w:lang w:val="en-US"/>
        </w:rPr>
        <w:t>ASTM</w:t>
      </w:r>
      <w:r>
        <w:rPr>
          <w:rFonts w:cs="Arial" w:ascii="Arial" w:hAnsi="Arial"/>
          <w:b/>
          <w:sz w:val="14"/>
          <w:szCs w:val="14"/>
        </w:rPr>
        <w:t> </w:t>
      </w:r>
      <w:r>
        <w:rPr>
          <w:rFonts w:cs="Arial" w:ascii="Arial" w:hAnsi="Arial"/>
          <w:b/>
          <w:sz w:val="14"/>
          <w:szCs w:val="14"/>
          <w:lang w:val="en-US"/>
        </w:rPr>
        <w:t>B</w:t>
      </w:r>
      <w:r>
        <w:rPr>
          <w:rFonts w:cs="Arial" w:ascii="Arial" w:hAnsi="Arial"/>
          <w:b/>
          <w:sz w:val="14"/>
          <w:szCs w:val="14"/>
        </w:rPr>
        <w:t>231</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Метод определения текучести при помощи воронки Холла в соответствии со стандартом ISO 4490 или ASTM B213 применим только к МПК, которые свободно протекают через отверстие установленного диаметра. МПК с размером частиц больше 100 мкм часто образуют заторы, которые искажают результаты или делают измерение невозможным.</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 xml:space="preserve">5.8.2.2 При помощи калиброванной воронки в соответствии с </w:t>
      </w:r>
      <w:r>
        <w:rPr>
          <w:rFonts w:cs="Arial" w:ascii="Arial" w:hAnsi="Arial"/>
          <w:b/>
          <w:sz w:val="14"/>
          <w:szCs w:val="14"/>
          <w:lang w:val="en-US"/>
        </w:rPr>
        <w:t>ASTM</w:t>
      </w:r>
      <w:r>
        <w:rPr>
          <w:rFonts w:cs="Arial" w:ascii="Arial" w:hAnsi="Arial"/>
          <w:b/>
          <w:sz w:val="14"/>
          <w:szCs w:val="14"/>
        </w:rPr>
        <w:t xml:space="preserve"> </w:t>
      </w:r>
      <w:r>
        <w:rPr>
          <w:rFonts w:cs="Arial" w:ascii="Arial" w:hAnsi="Arial"/>
          <w:b/>
          <w:sz w:val="14"/>
          <w:szCs w:val="14"/>
          <w:lang w:val="en-US"/>
        </w:rPr>
        <w:t>B</w:t>
      </w:r>
      <w:r>
        <w:rPr>
          <w:rFonts w:cs="Arial" w:ascii="Arial" w:hAnsi="Arial"/>
          <w:b/>
          <w:sz w:val="14"/>
          <w:szCs w:val="14"/>
        </w:rPr>
        <w:t>964</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 xml:space="preserve">Метод определения текучести при помощи воронки Карнея в соответствии с </w:t>
      </w:r>
      <w:r>
        <w:rPr>
          <w:rFonts w:cs="Arial" w:ascii="Arial" w:hAnsi="Arial"/>
          <w:sz w:val="14"/>
          <w:szCs w:val="14"/>
          <w:lang w:val="en-US"/>
        </w:rPr>
        <w:t>ASTM</w:t>
      </w:r>
      <w:r>
        <w:rPr>
          <w:rFonts w:cs="Arial" w:ascii="Arial" w:hAnsi="Arial"/>
          <w:sz w:val="14"/>
          <w:szCs w:val="14"/>
        </w:rPr>
        <w:t> </w:t>
      </w:r>
      <w:r>
        <w:rPr>
          <w:rFonts w:cs="Arial" w:ascii="Arial" w:hAnsi="Arial"/>
          <w:sz w:val="14"/>
          <w:szCs w:val="14"/>
          <w:lang w:val="en-US"/>
        </w:rPr>
        <w:t>B</w:t>
      </w:r>
      <w:r>
        <w:rPr>
          <w:rFonts w:cs="Arial" w:ascii="Arial" w:hAnsi="Arial"/>
          <w:sz w:val="14"/>
          <w:szCs w:val="14"/>
        </w:rPr>
        <w:t>964 применяют, если МПК не протекает через воронку Холла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5.8.3 Измерение угла естественного откоса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Измерение угла естественного наклона в соответствии со стандартом ISO 4324 дает информацию о текучести МПК.</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5.8.4 Испытание на сдвиг в кольцевой обойме</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Испытаний на сдвиг в кольцевой обойме в соответствии с ASTM </w:t>
      </w:r>
      <w:r>
        <w:rPr>
          <w:rFonts w:cs="Arial" w:ascii="Arial" w:hAnsi="Arial"/>
          <w:sz w:val="14"/>
          <w:szCs w:val="14"/>
          <w:lang w:val="en-US"/>
        </w:rPr>
        <w:t>D</w:t>
      </w:r>
      <w:r>
        <w:rPr>
          <w:rFonts w:cs="Arial" w:ascii="Arial" w:hAnsi="Arial"/>
          <w:sz w:val="14"/>
          <w:szCs w:val="14"/>
        </w:rPr>
        <w:t>6773 (кольцевой тестер сдвига Шульца) используют для измерения предела текучести и текучих свойств МПК.</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5.8.5 Вращающийся цилиндр с динамическим анализом изображения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Данный метод измеряет текучесть МПК путем автоматического анализа цифровых изображений образца МПК во вращающемся барабане.</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5.8.6 Порошковый ротационный вискозиметр</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Порошковый реометр измеряет текучесть МПК путем перемещения вращающейся винтовой лопасти с постоянным усилием через образцы МПК, подготовленные в соответствии с установленными требованиями. Текучесть МПК определяется исходя из сопротивления вращению и перемещению лопасти в вертикальной плоскости (крутящий момент и усилие).</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5.8.7 Коэффициент Хауснера (соотношение плотности после утряски к насыпной плотности)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Коэффициент Хауснера используют для измерения текучести в традиционной порошковой металлургии (спекание и прессование металлических порошков) и не дает четкого представления о пригодности металлического порошка для процессов аддитивного производства. Для порошков, которые намного мельче, чем те, которые используют в традиционной порошковой металлургии используемых в аддитивном производстве не выявлено никакой корреляции результатом, полученных данным методом с результатами, полученными другими приведенными методами</w:t>
      </w:r>
    </w:p>
    <w:p>
      <w:pPr>
        <w:pStyle w:val="Normal"/>
        <w:widowControl w:val="false"/>
        <w:tabs>
          <w:tab w:val="clear" w:pos="709"/>
          <w:tab w:val="left" w:pos="142" w:leader="none"/>
        </w:tabs>
        <w:spacing w:lineRule="auto" w:line="360" w:before="0" w:after="0"/>
        <w:ind w:firstLine="709"/>
        <w:jc w:val="both"/>
        <w:rPr>
          <w:rFonts w:ascii="Arial" w:hAnsi="Arial" w:cs="Arial"/>
          <w:b/>
          <w:b/>
          <w:sz w:val="14"/>
          <w:szCs w:val="14"/>
        </w:rPr>
      </w:pPr>
      <w:r>
        <w:rPr>
          <w:rFonts w:cs="Arial" w:ascii="Arial" w:hAnsi="Arial"/>
          <w:b/>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 Загрязнения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Загрязнения - это нежелательные элементы, которые могут присутствовать в первичном МПК или накапливаться во время использования. Как правило, загрязнения отрицательно влияют на свойства МПК и должны быть предотвращены и/или сведены к минимуму. По согласованию между заказчиком и поставщиком, используемая партия МПК не должна содержать посторонних материалов, содержащих частиц с другой формой, с другим химическим составом или примесей, не предусмотренных спецификацией. Возможные загрязнения и связанные с ними последствия перечислены в следующих подразделах.</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 Содержание влаги</w:t>
      </w:r>
    </w:p>
    <w:p>
      <w:pPr>
        <w:pStyle w:val="Normal"/>
        <w:keepNext w:val="tru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5.9.1.1 Общие положения</w:t>
      </w:r>
    </w:p>
    <w:p>
      <w:pPr>
        <w:pStyle w:val="Normal"/>
        <w:keepNext w:val="tru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Содержание влаги — это количество воды, удерживаемой образцом МПК. Вода может быть абсорбирована из воздуха окружающей среды или из недостаточно хорошо высушенного контейнера или инструментов.</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Влага в МПК:</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1) является основной причиной поступления водорода и кислорода в процесс АП;</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2) приводит к ухудшению текучести МПК (более подробно описано в разделе 5.8);</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3) в зависимости от температуры окружающей среды конденсация воды на поверхностях, таких как входное окно лазера или датчика, может существенно повлиять на процесс.</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5.9.1.2 Определение влаги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Содержание влаги в МПК оказывает значительное влияние на его характеристики текучести, а также приводит к попаданию в МПК оксидов и водорода. Содержание влаги должно регулярно контролироваться при помощи одного из методов, приведенных в пунктах 5.9.1.2.1-5.9.1.2.4.</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5.9.1.2.1 Термогравиметрический анализ (TGA) / Потери при сушке</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Термогравиметрические методы, аналогичные методу в соответствии с DIN 51006 представляют собой методы высушивания–взвешивания, которые заключаются в сушке образцов до постоянной массы. Изменение массы интерпретируется как высвобождение влаги.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Важно проверить соответствие ожидаемого содержания влаги в МПК и диапазона измерения в соответствии с применяемым методом.</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5.9.1.2.2 Газовая хроматография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В газовой хроматографии подготовленную пробу испаряют и транспортируют через разделительную колонну с помощью инертного газа-носителя. Разделенные компоненты, выходящие из разделительной колонны, определяют с помощью детектора теплопроводности. Из-за сложности устройства газовую хроматографию не используют регулярно для определения содержания воды, за исключением случаев, когда интерес представляют другие компоненты или, когда в составе есть компоненты, которые вызвать вторичные реакции, мешающие определению методом титрования по Карлу Фишеру (см. 5.9.1.2.3).</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5.9.1.2.3 Титрование по методу Карла Фишера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Титрование по Карлу Фишеру (определение содержания H</w:t>
      </w:r>
      <w:r>
        <w:rPr>
          <w:rFonts w:cs="Arial" w:ascii="Arial" w:hAnsi="Arial"/>
          <w:sz w:val="14"/>
          <w:szCs w:val="14"/>
          <w:vertAlign w:val="subscript"/>
        </w:rPr>
        <w:t>2</w:t>
      </w:r>
      <w:r>
        <w:rPr>
          <w:rFonts w:cs="Arial" w:ascii="Arial" w:hAnsi="Arial"/>
          <w:sz w:val="14"/>
          <w:szCs w:val="14"/>
        </w:rPr>
        <w:t xml:space="preserve"> и обратный расчет содержания влаги) - это количественный химический метод определения содержания воды, основанный на окислении диоксида серы йодом в щелочном растворе метанола. Поскольку для данной реакции требуется вода, она может продолжаться только до тех пор, пока вода все еще присутствует в анализируемой пробе. Как только вся вода прореагирует, прекратится снижение содержания йода, что приведет к обесцвечиванию коричневого раствора, которое принимают за достижение конечной точки титрования. Титрование может быть объемным (простое оборудование) или кулонометрическим (требуются специальные реактивы).</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Несмотря на то, что доступны химические методы определения, до сих пор проводилось мало исследований относительно их пригодности для применения в рамках настоящего стандарта.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5.9.1.2.4 Электронные влагомеры</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Имеющиеся в продаже электронные влагомеры определяют содержание влаги путем измерения электрического сопротивления между двумя электродами, путем измерения емкости электрического конденсатора или с использованием микроволновых методов.</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5.9.2 Примеси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Примеси - это следы элементов, присутствующих в небольших количествах в МПК, которых невозможно полностью избежать в процессе производства. МПК не должен содержать включений и примесей, оказывающих негативное воздействие</w:t>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z w:val="14"/>
          <w:szCs w:val="14"/>
        </w:rPr>
        <w:t>.</w:t>
      </w:r>
    </w:p>
    <w:p>
      <w:pPr>
        <w:pStyle w:val="Normal"/>
        <w:widowControl w:val="false"/>
        <w:tabs>
          <w:tab w:val="clear" w:pos="709"/>
          <w:tab w:val="left" w:pos="142" w:leader="none"/>
        </w:tabs>
        <w:spacing w:lineRule="auto" w:line="360" w:before="0" w:after="0"/>
        <w:ind w:firstLine="709"/>
        <w:jc w:val="both"/>
        <w:rPr>
          <w:rFonts w:ascii="Arial" w:hAnsi="Arial" w:cs="Arial"/>
          <w:sz w:val="20"/>
          <w:szCs w:val="20"/>
        </w:rPr>
      </w:pPr>
      <w:r>
        <w:rPr>
          <w:rFonts w:cs="Arial" w:ascii="Arial" w:hAnsi="Arial"/>
          <w:spacing w:val="40"/>
          <w:sz w:val="14"/>
          <w:szCs w:val="14"/>
        </w:rPr>
        <w:t>Примечание</w:t>
      </w:r>
      <w:r>
        <w:rPr>
          <w:rFonts w:cs="Arial" w:ascii="Arial" w:hAnsi="Arial"/>
          <w:sz w:val="14"/>
          <w:szCs w:val="14"/>
        </w:rPr>
        <w:t xml:space="preserve"> – Обычно максимально допустимое значение (в атомных (</w:t>
      </w:r>
      <w:r>
        <w:rPr>
          <w:rFonts w:cs="Arial" w:ascii="Arial" w:hAnsi="Arial"/>
          <w:sz w:val="14"/>
          <w:szCs w:val="14"/>
          <w:lang w:val="en-US"/>
        </w:rPr>
        <w:t>at</w:t>
      </w:r>
      <w:r>
        <w:rPr>
          <w:rFonts w:cs="Arial" w:ascii="Arial" w:hAnsi="Arial"/>
          <w:sz w:val="14"/>
          <w:szCs w:val="14"/>
        </w:rPr>
        <w:t>%) или массовых (</w:t>
      </w:r>
      <w:r>
        <w:rPr>
          <w:rFonts w:cs="Arial" w:ascii="Arial" w:hAnsi="Arial"/>
          <w:sz w:val="14"/>
          <w:szCs w:val="14"/>
          <w:lang w:eastAsia="ru-RU"/>
        </w:rPr>
        <w:t>wt%</w:t>
      </w:r>
      <w:r>
        <w:rPr>
          <w:rFonts w:cs="Arial" w:ascii="Arial" w:hAnsi="Arial"/>
          <w:sz w:val="14"/>
          <w:szCs w:val="14"/>
        </w:rPr>
        <w:t>) процентах) указывают в зависимости от требований производителя и/или заказчика, в зависимости от области применения изготавливаемой детали.</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5.9.3 Содержание кислорода и водорода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МПК, как правило, в течение своего жизненного цикла поглощает кислород и водород из влаги. Относительное количество кислорода и водорода в МПК должно быть указано для обеспечения соответствия установленным требованиям материала конечной детали. При превышении указанных максимальных значений свойства материала могут измениться либо из-за внутреннего/внешнего окисления (O), либо из-за охрупчивания (H).</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5.9.4 Содержание азота</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В процессах, использующих азот в качестве инертной атмосферы, содержание азота в материале может увеличиваться во время расплавления и синтеза детали. Это может привести к высоким концентрациям нитридов, оказывающих негативное воздействие и может химически подавлять образование желаемых фаз или приводить к увеличению прочности при растяжении за счет межфазного упрочнения.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 xml:space="preserve">5.10 Скорость поглощения энергии </w:t>
      </w:r>
    </w:p>
    <w:p>
      <w:pPr>
        <w:pStyle w:val="Normal"/>
        <w:keepNext w:val="tru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5.10.1 Общие положения</w:t>
      </w:r>
    </w:p>
    <w:p>
      <w:pPr>
        <w:pStyle w:val="Normal"/>
        <w:keepNext w:val="tru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keepNext w:val="tru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Так как при лазерном сплавлении как правило используют инфракрасные лазеры, энергия передается МПК за счет поглощения лазерного луча, скорость поглощения МПК энергии для длины волны лазерного излучения оказывает значительное влияние на процесс.</w:t>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Скорость поглощения энергии определяется с помощью спектрограммы, на которой величина поглощения выбирается в соответствии с длиной волны используемого лазера. МПК с более низкой скоростью поглощения требуют для расплавления более высокой мощности лазера и/или более длительного времени воздействия.</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b/>
          <w:b/>
        </w:rPr>
      </w:pPr>
      <w:r>
        <w:rPr>
          <w:rFonts w:cs="Arial" w:ascii="Arial" w:hAnsi="Arial"/>
          <w:b/>
          <w:sz w:val="14"/>
          <w:szCs w:val="14"/>
        </w:rPr>
        <w:t>5.10.2 Инфракрасная Фурье-спектроскопия диффузного отражения (</w:t>
      </w:r>
      <w:r>
        <w:rPr>
          <w:rFonts w:cs="Arial" w:ascii="Arial" w:hAnsi="Arial"/>
          <w:b/>
          <w:sz w:val="14"/>
          <w:szCs w:val="14"/>
          <w:lang w:val="en-US"/>
        </w:rPr>
        <w:t>DRIFTS</w:t>
      </w:r>
      <w:r>
        <w:rPr>
          <w:rFonts w:cs="Arial" w:ascii="Arial" w:hAnsi="Arial"/>
          <w:b/>
          <w:sz w:val="14"/>
          <w:szCs w:val="14"/>
        </w:rPr>
        <w:t>)</w:t>
      </w:r>
    </w:p>
    <w:p>
      <w:pPr>
        <w:pStyle w:val="Normal"/>
        <w:widowControl w:val="false"/>
        <w:tabs>
          <w:tab w:val="clear" w:pos="709"/>
          <w:tab w:val="left" w:pos="142"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tabs>
          <w:tab w:val="clear" w:pos="709"/>
          <w:tab w:val="left" w:pos="142" w:leader="none"/>
        </w:tabs>
        <w:spacing w:lineRule="auto" w:line="360" w:before="0" w:after="0"/>
        <w:ind w:firstLine="709"/>
        <w:jc w:val="both"/>
        <w:rPr>
          <w:rFonts w:ascii="Arial" w:hAnsi="Arial" w:cs="Arial"/>
        </w:rPr>
      </w:pPr>
      <w:r>
        <w:rPr>
          <w:rFonts w:cs="Arial" w:ascii="Arial" w:hAnsi="Arial"/>
          <w:sz w:val="14"/>
          <w:szCs w:val="14"/>
        </w:rPr>
        <w:t>Данный метод инфракрасной спектроскопии может быть использован на неподготовленных образцах МПК и измеряет как отражение, так и поглощение излучения.</w:t>
      </w:r>
    </w:p>
    <w:p>
      <w:pPr>
        <w:pStyle w:val="Normal"/>
        <w:tabs>
          <w:tab w:val="left" w:pos="709" w:leader="none"/>
        </w:tabs>
        <w:spacing w:lineRule="auto" w:line="360" w:before="0" w:after="0"/>
        <w:ind w:firstLine="851"/>
        <w:rPr>
          <w:rFonts w:ascii="Arial" w:hAnsi="Arial" w:cs="Arial"/>
          <w:b/>
          <w:b/>
          <w:sz w:val="14"/>
          <w:szCs w:val="14"/>
        </w:rPr>
      </w:pPr>
      <w:r>
        <w:rPr>
          <w:rFonts w:cs="Arial" w:ascii="Arial" w:hAnsi="Arial"/>
          <w:b/>
          <w:sz w:val="14"/>
          <w:szCs w:val="14"/>
        </w:rPr>
      </w:r>
    </w:p>
    <w:p>
      <w:pPr>
        <w:pStyle w:val="Normal"/>
        <w:tabs>
          <w:tab w:val="left" w:pos="709" w:leader="none"/>
        </w:tabs>
        <w:spacing w:lineRule="auto" w:line="360" w:before="0" w:after="0"/>
        <w:ind w:firstLine="851"/>
        <w:rPr>
          <w:rFonts w:ascii="Arial" w:hAnsi="Arial" w:cs="Arial"/>
          <w:b/>
          <w:b/>
        </w:rPr>
      </w:pPr>
      <w:r>
        <w:rPr>
          <w:rFonts w:cs="Arial" w:ascii="Arial" w:hAnsi="Arial"/>
          <w:b/>
          <w:sz w:val="14"/>
          <w:szCs w:val="14"/>
        </w:rPr>
        <w:t>ДА 3</w:t>
      </w:r>
    </w:p>
    <w:p>
      <w:pPr>
        <w:pStyle w:val="Normal"/>
        <w:widowControl w:val="false"/>
        <w:spacing w:lineRule="auto" w:line="360" w:before="0" w:after="0"/>
        <w:ind w:firstLine="709"/>
        <w:jc w:val="both"/>
        <w:rPr>
          <w:rFonts w:ascii="Arial" w:hAnsi="Arial" w:cs="Arial"/>
          <w:b/>
          <w:b/>
          <w:sz w:val="24"/>
          <w:szCs w:val="24"/>
        </w:rPr>
      </w:pPr>
      <w:r>
        <w:rPr>
          <w:rFonts w:cs="Arial" w:ascii="Arial" w:hAnsi="Arial"/>
          <w:b/>
          <w:sz w:val="14"/>
          <w:szCs w:val="14"/>
        </w:rPr>
        <w:t>6.2 Прослеживаемость</w:t>
      </w:r>
    </w:p>
    <w:p>
      <w:pPr>
        <w:pStyle w:val="Normal"/>
        <w:tabs>
          <w:tab w:val="left" w:pos="709" w:leader="none"/>
        </w:tabs>
        <w:spacing w:lineRule="auto" w:line="360" w:before="0" w:after="0"/>
        <w:ind w:firstLine="851"/>
        <w:jc w:val="both"/>
        <w:rPr>
          <w:rFonts w:ascii="Arial" w:hAnsi="Arial" w:cs="Arial"/>
        </w:rPr>
      </w:pPr>
      <w:r>
        <w:rPr>
          <w:rFonts w:cs="Arial" w:ascii="Arial" w:hAnsi="Arial"/>
          <w:sz w:val="14"/>
          <w:szCs w:val="14"/>
        </w:rPr>
        <w:t>Общую информация о прослеживаемости можно найти в стандарте ISO/ASTM 52920, касающемся требований к участкам АП.</w:t>
      </w:r>
    </w:p>
    <w:p>
      <w:pPr>
        <w:pStyle w:val="Normal"/>
        <w:tabs>
          <w:tab w:val="left" w:pos="709" w:leader="none"/>
        </w:tabs>
        <w:spacing w:lineRule="auto" w:line="360" w:before="0" w:after="0"/>
        <w:ind w:firstLine="851"/>
        <w:rPr>
          <w:rFonts w:ascii="Arial" w:hAnsi="Arial" w:cs="Arial"/>
          <w:b/>
          <w:b/>
          <w:sz w:val="14"/>
          <w:szCs w:val="14"/>
        </w:rPr>
      </w:pPr>
      <w:r>
        <w:rPr>
          <w:rFonts w:cs="Arial" w:ascii="Arial" w:hAnsi="Arial"/>
          <w:b/>
          <w:sz w:val="14"/>
          <w:szCs w:val="14"/>
        </w:rPr>
      </w:r>
    </w:p>
    <w:p>
      <w:pPr>
        <w:pStyle w:val="Normal"/>
        <w:tabs>
          <w:tab w:val="left" w:pos="709" w:leader="none"/>
        </w:tabs>
        <w:spacing w:lineRule="auto" w:line="360" w:before="0" w:after="0"/>
        <w:ind w:firstLine="851"/>
        <w:rPr>
          <w:rFonts w:ascii="Arial" w:hAnsi="Arial" w:cs="Arial"/>
          <w:b/>
          <w:b/>
        </w:rPr>
      </w:pPr>
      <w:r>
        <w:rPr>
          <w:rFonts w:cs="Arial" w:ascii="Arial" w:hAnsi="Arial"/>
          <w:b/>
          <w:sz w:val="14"/>
          <w:szCs w:val="14"/>
        </w:rPr>
        <w:t>ДА 4</w:t>
      </w:r>
    </w:p>
    <w:p>
      <w:pPr>
        <w:pStyle w:val="Normal"/>
        <w:widowControl w:val="false"/>
        <w:spacing w:lineRule="auto" w:line="360" w:before="0" w:after="0"/>
        <w:ind w:firstLine="709"/>
        <w:jc w:val="both"/>
        <w:rPr>
          <w:rFonts w:ascii="Arial" w:hAnsi="Arial" w:cs="Arial"/>
        </w:rPr>
      </w:pPr>
      <w:r>
        <w:rPr>
          <w:rFonts w:cs="Arial" w:ascii="Arial" w:hAnsi="Arial"/>
          <w:b/>
          <w:sz w:val="14"/>
          <w:szCs w:val="14"/>
        </w:rPr>
        <w:t>7.6 Свидетельство о приемке</w:t>
      </w:r>
      <w:r>
        <w:rPr>
          <w:rFonts w:cs="Arial" w:ascii="Arial" w:hAnsi="Arial"/>
          <w:sz w:val="14"/>
          <w:szCs w:val="14"/>
        </w:rPr>
        <w:t xml:space="preserve"> </w:t>
      </w:r>
    </w:p>
    <w:p>
      <w:pPr>
        <w:pStyle w:val="Normal"/>
        <w:widowControl w:val="false"/>
        <w:spacing w:lineRule="auto" w:line="360" w:before="0" w:after="0"/>
        <w:ind w:firstLine="709"/>
        <w:jc w:val="both"/>
        <w:rPr>
          <w:rFonts w:ascii="Arial" w:hAnsi="Arial" w:cs="Arial"/>
          <w:sz w:val="14"/>
          <w:szCs w:val="14"/>
        </w:rPr>
      </w:pPr>
      <w:r>
        <w:rPr>
          <w:rFonts w:cs="Arial" w:ascii="Arial" w:hAnsi="Arial"/>
          <w:sz w:val="14"/>
          <w:szCs w:val="14"/>
        </w:rPr>
      </w:r>
    </w:p>
    <w:p>
      <w:pPr>
        <w:pStyle w:val="Normal"/>
        <w:widowControl w:val="false"/>
        <w:spacing w:lineRule="auto" w:line="360" w:before="0" w:after="0"/>
        <w:ind w:firstLine="709"/>
        <w:jc w:val="both"/>
        <w:rPr>
          <w:rFonts w:ascii="Arial" w:hAnsi="Arial" w:cs="Arial"/>
        </w:rPr>
      </w:pPr>
      <w:r>
        <w:rPr>
          <w:rFonts w:cs="Arial" w:ascii="Arial" w:hAnsi="Arial"/>
          <w:sz w:val="14"/>
          <w:szCs w:val="14"/>
        </w:rPr>
        <w:t>Свидетельство о приемке должно содержать данные приведенные ниже.</w:t>
      </w:r>
    </w:p>
    <w:p>
      <w:pPr>
        <w:pStyle w:val="Normal"/>
        <w:widowControl w:val="false"/>
        <w:spacing w:lineRule="auto" w:line="360" w:before="0" w:after="0"/>
        <w:ind w:firstLine="709"/>
        <w:jc w:val="both"/>
        <w:rPr>
          <w:rFonts w:ascii="Arial" w:hAnsi="Arial" w:cs="Arial"/>
        </w:rPr>
      </w:pPr>
      <w:r>
        <w:rPr>
          <w:rFonts w:cs="Arial" w:ascii="Arial" w:hAnsi="Arial"/>
          <w:sz w:val="14"/>
          <w:szCs w:val="14"/>
        </w:rPr>
        <w:t>Гранулометрический состав оказывает значительное влияние на текучесть и насыпную плотность и, соответственно, на технологичность МПК и характеристики конечных изделий. Как правило, указывают значения квантилей D</w:t>
      </w:r>
      <w:r>
        <w:rPr>
          <w:rFonts w:cs="Arial" w:ascii="Arial" w:hAnsi="Arial"/>
          <w:sz w:val="14"/>
          <w:szCs w:val="14"/>
          <w:vertAlign w:val="subscript"/>
        </w:rPr>
        <w:t>v10</w:t>
      </w:r>
      <w:r>
        <w:rPr>
          <w:rFonts w:cs="Arial" w:ascii="Arial" w:hAnsi="Arial"/>
          <w:sz w:val="14"/>
          <w:szCs w:val="14"/>
        </w:rPr>
        <w:t>, D</w:t>
      </w:r>
      <w:r>
        <w:rPr>
          <w:rFonts w:cs="Arial" w:ascii="Arial" w:hAnsi="Arial"/>
          <w:sz w:val="14"/>
          <w:szCs w:val="14"/>
          <w:vertAlign w:val="subscript"/>
        </w:rPr>
        <w:t>v50</w:t>
      </w:r>
      <w:r>
        <w:rPr>
          <w:rFonts w:cs="Arial" w:ascii="Arial" w:hAnsi="Arial"/>
          <w:sz w:val="14"/>
          <w:szCs w:val="14"/>
        </w:rPr>
        <w:t xml:space="preserve"> и D</w:t>
      </w:r>
      <w:r>
        <w:rPr>
          <w:rFonts w:cs="Arial" w:ascii="Arial" w:hAnsi="Arial"/>
          <w:sz w:val="14"/>
          <w:szCs w:val="14"/>
          <w:vertAlign w:val="subscript"/>
        </w:rPr>
        <w:t>v90</w:t>
      </w:r>
      <w:r>
        <w:rPr>
          <w:rFonts w:cs="Arial" w:ascii="Arial" w:hAnsi="Arial"/>
          <w:sz w:val="14"/>
          <w:szCs w:val="14"/>
        </w:rPr>
        <w:t>. Значения квантилей соответствуют размеру частиц, при котором размер 10 %, 50 % или 90 % частиц МПК меньше данного значения. Значения в процентах по объему или по массе предпочтительнее, чем значения, выраженные в количестве частиц, так как мелкие частицы, даже если они присутствуют в большом количестве, будут составлять небольшую долю по объему или по массе.</w:t>
      </w:r>
    </w:p>
    <w:p>
      <w:pPr>
        <w:pStyle w:val="Normal"/>
        <w:widowControl w:val="false"/>
        <w:spacing w:lineRule="auto" w:line="360" w:before="0" w:after="0"/>
        <w:ind w:firstLine="709"/>
        <w:jc w:val="both"/>
        <w:rPr>
          <w:rFonts w:ascii="Arial" w:hAnsi="Arial" w:cs="Arial"/>
        </w:rPr>
      </w:pPr>
      <w:r>
        <w:rPr>
          <w:rFonts w:cs="Arial" w:ascii="Arial" w:hAnsi="Arial"/>
          <w:sz w:val="14"/>
          <w:szCs w:val="14"/>
        </w:rPr>
        <w:t>Большое количество крупных частиц снижает качество поверхности и способность формировать мелкие элементы детали (разрешающая способность системы АП). Для оценки доли крупной фракции используют значение D</w:t>
      </w:r>
      <w:r>
        <w:rPr>
          <w:rFonts w:cs="Arial" w:ascii="Arial" w:hAnsi="Arial"/>
          <w:sz w:val="14"/>
          <w:szCs w:val="14"/>
          <w:vertAlign w:val="subscript"/>
        </w:rPr>
        <w:t>v90</w:t>
      </w:r>
      <w:r>
        <w:rPr>
          <w:rFonts w:cs="Arial" w:ascii="Arial" w:hAnsi="Arial"/>
          <w:sz w:val="14"/>
          <w:szCs w:val="14"/>
        </w:rPr>
        <w:t>. Квантиль D</w:t>
      </w:r>
      <w:r>
        <w:rPr>
          <w:rFonts w:cs="Arial" w:ascii="Arial" w:hAnsi="Arial"/>
          <w:sz w:val="14"/>
          <w:szCs w:val="14"/>
          <w:vertAlign w:val="subscript"/>
        </w:rPr>
        <w:t xml:space="preserve">v90 </w:t>
      </w:r>
      <w:r>
        <w:rPr>
          <w:rFonts w:cs="Arial" w:ascii="Arial" w:hAnsi="Arial"/>
          <w:sz w:val="14"/>
          <w:szCs w:val="14"/>
        </w:rPr>
        <w:t>обозначает, что в МПК 10% по объему частиц больше данного значения.</w:t>
      </w:r>
    </w:p>
    <w:p>
      <w:pPr>
        <w:pStyle w:val="Normal"/>
        <w:widowControl w:val="false"/>
        <w:spacing w:lineRule="auto" w:line="360" w:before="0" w:after="0"/>
        <w:ind w:firstLine="709"/>
        <w:jc w:val="both"/>
        <w:rPr>
          <w:rFonts w:ascii="Arial" w:hAnsi="Arial" w:cs="Arial"/>
        </w:rPr>
      </w:pPr>
      <w:r>
        <w:rPr>
          <w:rFonts w:cs="Arial" w:ascii="Arial" w:hAnsi="Arial"/>
          <w:sz w:val="14"/>
          <w:szCs w:val="14"/>
        </w:rPr>
        <w:t>Высокая доля мелких частиц приводит к образованию более мелких частиц, которые могут загрязнять установку AП и окружающую её область. Чем мельче частицы, тем больше отношение поверхности частицы МПК к её объему и тем сильнее поверхностные силы и электростатический заряд, что ухудшает текучесть и может привести, например, к накоплению осадка на устройстве разравнивания МПК. Значение D</w:t>
      </w:r>
      <w:r>
        <w:rPr>
          <w:rFonts w:cs="Arial" w:ascii="Arial" w:hAnsi="Arial"/>
          <w:sz w:val="14"/>
          <w:szCs w:val="14"/>
          <w:vertAlign w:val="subscript"/>
        </w:rPr>
        <w:t>v10</w:t>
      </w:r>
      <w:r>
        <w:rPr>
          <w:rFonts w:cs="Arial" w:ascii="Arial" w:hAnsi="Arial"/>
          <w:sz w:val="14"/>
          <w:szCs w:val="14"/>
        </w:rPr>
        <w:t xml:space="preserve"> используют как оценку содержания мелкой фракции, квантиль означает, что в МПК 10 % по объему частиц имеют размер меньше данного значения.</w:t>
      </w:r>
    </w:p>
    <w:p>
      <w:pPr>
        <w:pStyle w:val="Normal"/>
        <w:widowControl w:val="false"/>
        <w:spacing w:lineRule="auto" w:line="360" w:before="0" w:after="0"/>
        <w:ind w:firstLine="709"/>
        <w:jc w:val="both"/>
        <w:rPr>
          <w:rFonts w:ascii="Arial" w:hAnsi="Arial" w:cs="Arial"/>
        </w:rPr>
      </w:pPr>
      <w:r>
        <w:rPr>
          <w:rFonts w:cs="Arial" w:ascii="Arial" w:hAnsi="Arial"/>
          <w:sz w:val="14"/>
          <w:szCs w:val="14"/>
        </w:rPr>
        <w:t>Средний размер частиц (значение D</w:t>
      </w:r>
      <w:r>
        <w:rPr>
          <w:rFonts w:cs="Arial" w:ascii="Arial" w:hAnsi="Arial"/>
          <w:sz w:val="14"/>
          <w:szCs w:val="14"/>
          <w:vertAlign w:val="subscript"/>
        </w:rPr>
        <w:t>v50</w:t>
      </w:r>
      <w:r>
        <w:rPr>
          <w:rFonts w:cs="Arial" w:ascii="Arial" w:hAnsi="Arial"/>
          <w:sz w:val="14"/>
          <w:szCs w:val="14"/>
        </w:rPr>
        <w:t>) дает хорошее представление об итоговой шероховатости поверхности деталей, поскольку шероховатость в значительной степени определяется частицами, прилипшими к деталям, или частично сплавленными частицами. Как минимум для МПК должны быть приведены значения D</w:t>
      </w:r>
      <w:r>
        <w:rPr>
          <w:rFonts w:cs="Arial" w:ascii="Arial" w:hAnsi="Arial"/>
          <w:sz w:val="14"/>
          <w:szCs w:val="14"/>
          <w:vertAlign w:val="subscript"/>
        </w:rPr>
        <w:t>v10</w:t>
      </w:r>
      <w:r>
        <w:rPr>
          <w:rFonts w:cs="Arial" w:ascii="Arial" w:hAnsi="Arial"/>
          <w:sz w:val="14"/>
          <w:szCs w:val="14"/>
        </w:rPr>
        <w:t>, D</w:t>
      </w:r>
      <w:r>
        <w:rPr>
          <w:rFonts w:cs="Arial" w:ascii="Arial" w:hAnsi="Arial"/>
          <w:sz w:val="14"/>
          <w:szCs w:val="14"/>
          <w:vertAlign w:val="subscript"/>
        </w:rPr>
        <w:t>v50</w:t>
      </w:r>
      <w:r>
        <w:rPr>
          <w:rFonts w:cs="Arial" w:ascii="Arial" w:hAnsi="Arial"/>
          <w:sz w:val="14"/>
          <w:szCs w:val="14"/>
        </w:rPr>
        <w:t xml:space="preserve"> и D</w:t>
      </w:r>
      <w:r>
        <w:rPr>
          <w:rFonts w:cs="Arial" w:ascii="Arial" w:hAnsi="Arial"/>
          <w:sz w:val="14"/>
          <w:szCs w:val="14"/>
          <w:vertAlign w:val="subscript"/>
        </w:rPr>
        <w:t>v90</w:t>
      </w:r>
      <w:r>
        <w:rPr>
          <w:rFonts w:cs="Arial" w:ascii="Arial" w:hAnsi="Arial"/>
          <w:sz w:val="14"/>
          <w:szCs w:val="14"/>
        </w:rPr>
        <w:t>, но предпочтительно указывать полную картинку распределение частиц по размерам.</w:t>
      </w:r>
      <w:r>
        <w:br w:type="page"/>
      </w:r>
    </w:p>
    <w:p>
      <w:pPr>
        <w:pStyle w:val="Normal"/>
        <w:tabs>
          <w:tab w:val="clear" w:pos="709"/>
          <w:tab w:val="left" w:pos="0" w:leader="none"/>
        </w:tabs>
        <w:spacing w:lineRule="auto" w:line="240" w:before="0" w:after="0"/>
        <w:jc w:val="center"/>
        <w:rPr>
          <w:rFonts w:ascii="Arial" w:hAnsi="Arial" w:cs="Arial"/>
          <w:b/>
          <w:b/>
          <w:sz w:val="24"/>
          <w:szCs w:val="24"/>
        </w:rPr>
      </w:pPr>
      <w:r>
        <w:rPr>
          <w:rFonts w:cs="Arial" w:ascii="Arial" w:hAnsi="Arial"/>
          <w:b/>
          <w:sz w:val="14"/>
          <w:szCs w:val="14"/>
        </w:rPr>
        <w:t>Приложение ДБ</w:t>
      </w:r>
    </w:p>
    <w:p>
      <w:pPr>
        <w:pStyle w:val="Normal"/>
        <w:tabs>
          <w:tab w:val="clear" w:pos="709"/>
          <w:tab w:val="left" w:pos="0" w:leader="none"/>
        </w:tabs>
        <w:spacing w:lineRule="auto" w:line="240" w:before="0" w:after="0"/>
        <w:jc w:val="center"/>
        <w:rPr>
          <w:rFonts w:ascii="Arial" w:hAnsi="Arial" w:cs="Arial"/>
          <w:sz w:val="24"/>
          <w:szCs w:val="24"/>
        </w:rPr>
      </w:pPr>
      <w:r>
        <w:rPr>
          <w:rFonts w:cs="Arial" w:ascii="Arial" w:hAnsi="Arial"/>
          <w:sz w:val="14"/>
          <w:szCs w:val="14"/>
        </w:rPr>
        <w:t>(справочное)</w:t>
      </w:r>
    </w:p>
    <w:p>
      <w:pPr>
        <w:pStyle w:val="Normal"/>
        <w:tabs>
          <w:tab w:val="clear" w:pos="709"/>
          <w:tab w:val="left" w:pos="0" w:leader="none"/>
        </w:tabs>
        <w:spacing w:lineRule="auto" w:line="240" w:before="0" w:after="0"/>
        <w:jc w:val="center"/>
        <w:rPr>
          <w:rFonts w:ascii="Arial" w:hAnsi="Arial" w:cs="Arial"/>
          <w:b/>
          <w:b/>
          <w:sz w:val="24"/>
          <w:szCs w:val="24"/>
        </w:rPr>
      </w:pPr>
      <w:r>
        <w:rPr>
          <w:rFonts w:cs="Arial" w:ascii="Arial" w:hAnsi="Arial"/>
          <w:b/>
          <w:sz w:val="14"/>
          <w:szCs w:val="14"/>
        </w:rPr>
        <w:t>Оригинальный текст модифицированных структурных элементов примененного международного стандарта</w:t>
      </w:r>
    </w:p>
    <w:p>
      <w:pPr>
        <w:pStyle w:val="Normal"/>
        <w:tabs>
          <w:tab w:val="left" w:pos="709" w:leader="none"/>
        </w:tabs>
        <w:spacing w:lineRule="auto" w:line="360" w:before="0" w:after="0"/>
        <w:ind w:firstLine="851"/>
        <w:rPr>
          <w:rFonts w:ascii="Arial" w:hAnsi="Arial" w:cs="Arial"/>
          <w:b/>
          <w:b/>
          <w:sz w:val="14"/>
          <w:szCs w:val="14"/>
        </w:rPr>
      </w:pPr>
      <w:r>
        <w:rPr>
          <w:rFonts w:cs="Arial" w:ascii="Arial" w:hAnsi="Arial"/>
          <w:b/>
          <w:sz w:val="14"/>
          <w:szCs w:val="14"/>
        </w:rPr>
      </w:r>
    </w:p>
    <w:p>
      <w:pPr>
        <w:pStyle w:val="Normal"/>
        <w:tabs>
          <w:tab w:val="left" w:pos="709" w:leader="none"/>
        </w:tabs>
        <w:spacing w:lineRule="auto" w:line="360" w:before="0" w:after="0"/>
        <w:ind w:firstLine="709"/>
        <w:jc w:val="both"/>
        <w:rPr>
          <w:rFonts w:ascii="Arial" w:hAnsi="Arial" w:cs="Arial"/>
          <w:b/>
          <w:b/>
        </w:rPr>
      </w:pPr>
      <w:r>
        <w:rPr>
          <w:rFonts w:cs="Arial" w:ascii="Arial" w:hAnsi="Arial"/>
          <w:b/>
          <w:sz w:val="14"/>
          <w:szCs w:val="14"/>
        </w:rPr>
        <w:t>ДБ.1 Область применения</w:t>
      </w:r>
    </w:p>
    <w:p>
      <w:pPr>
        <w:pStyle w:val="1OsnAbz"/>
        <w:spacing w:lineRule="auto" w:line="360" w:before="0" w:after="0"/>
        <w:ind w:firstLine="709"/>
        <w:rPr>
          <w:rFonts w:eastAsia="Calibri" w:eastAsiaTheme="minorHAnsi"/>
          <w:color w:val="auto"/>
          <w:sz w:val="22"/>
          <w:szCs w:val="22"/>
          <w:lang w:eastAsia="en-US"/>
        </w:rPr>
      </w:pPr>
      <w:r>
        <w:rPr>
          <w:rFonts w:eastAsia="Calibri" w:eastAsiaTheme="minorHAnsi"/>
          <w:color w:val="auto"/>
          <w:sz w:val="14"/>
          <w:szCs w:val="14"/>
          <w:lang w:eastAsia="en-US"/>
        </w:rPr>
        <w:t>Настоящий стандарт описывает следующие аспекты:</w:t>
      </w:r>
    </w:p>
    <w:p>
      <w:pPr>
        <w:pStyle w:val="1OsnAbz"/>
        <w:spacing w:lineRule="auto" w:line="360" w:before="0" w:after="0"/>
        <w:ind w:firstLine="709"/>
        <w:rPr>
          <w:rFonts w:eastAsia="Calibri" w:eastAsiaTheme="minorHAnsi"/>
          <w:color w:val="auto"/>
          <w:sz w:val="22"/>
          <w:szCs w:val="22"/>
          <w:lang w:eastAsia="en-US"/>
        </w:rPr>
      </w:pPr>
      <w:r>
        <w:rPr>
          <w:rFonts w:eastAsia="Calibri" w:eastAsiaTheme="minorHAnsi"/>
          <w:color w:val="auto"/>
          <w:sz w:val="14"/>
          <w:szCs w:val="14"/>
          <w:lang w:eastAsia="en-US"/>
        </w:rPr>
        <w:t xml:space="preserve">— </w:t>
      </w:r>
      <w:r>
        <w:rPr>
          <w:rFonts w:eastAsia="Calibri" w:eastAsiaTheme="minorHAnsi"/>
          <w:color w:val="auto"/>
          <w:sz w:val="14"/>
          <w:szCs w:val="14"/>
          <w:lang w:eastAsia="en-US"/>
        </w:rPr>
        <w:t>характеристики МПК;</w:t>
      </w:r>
    </w:p>
    <w:p>
      <w:pPr>
        <w:pStyle w:val="1OsnAbz"/>
        <w:spacing w:lineRule="auto" w:line="360" w:before="0" w:after="0"/>
        <w:ind w:firstLine="709"/>
        <w:rPr>
          <w:rFonts w:eastAsia="Calibri" w:eastAsiaTheme="minorHAnsi"/>
          <w:color w:val="auto"/>
          <w:sz w:val="22"/>
          <w:szCs w:val="22"/>
          <w:lang w:eastAsia="en-US"/>
        </w:rPr>
      </w:pPr>
      <w:r>
        <w:rPr>
          <w:rFonts w:eastAsia="Calibri" w:eastAsiaTheme="minorHAnsi"/>
          <w:color w:val="auto"/>
          <w:sz w:val="14"/>
          <w:szCs w:val="14"/>
          <w:lang w:eastAsia="en-US"/>
        </w:rPr>
        <w:t xml:space="preserve">— </w:t>
      </w:r>
      <w:r>
        <w:rPr>
          <w:rFonts w:eastAsia="Calibri" w:eastAsiaTheme="minorHAnsi"/>
          <w:color w:val="auto"/>
          <w:sz w:val="14"/>
          <w:szCs w:val="14"/>
          <w:lang w:eastAsia="en-US"/>
        </w:rPr>
        <w:t>жизненный цикл МПК;</w:t>
      </w:r>
    </w:p>
    <w:p>
      <w:pPr>
        <w:pStyle w:val="1OsnAbz"/>
        <w:spacing w:lineRule="auto" w:line="360" w:before="0" w:after="0"/>
        <w:ind w:firstLine="709"/>
        <w:rPr>
          <w:rFonts w:eastAsia="Calibri" w:eastAsiaTheme="minorHAnsi"/>
          <w:color w:val="auto"/>
          <w:sz w:val="22"/>
          <w:szCs w:val="22"/>
          <w:lang w:eastAsia="en-US"/>
        </w:rPr>
      </w:pPr>
      <w:r>
        <w:rPr>
          <w:rFonts w:eastAsia="Calibri" w:eastAsiaTheme="minorHAnsi"/>
          <w:color w:val="auto"/>
          <w:sz w:val="14"/>
          <w:szCs w:val="14"/>
          <w:lang w:eastAsia="en-US"/>
        </w:rPr>
        <w:t xml:space="preserve">— </w:t>
      </w:r>
      <w:r>
        <w:rPr>
          <w:rFonts w:eastAsia="Calibri" w:eastAsiaTheme="minorHAnsi"/>
          <w:color w:val="auto"/>
          <w:sz w:val="14"/>
          <w:szCs w:val="14"/>
          <w:lang w:eastAsia="en-US"/>
        </w:rPr>
        <w:t>методы определения характеристик МПК;</w:t>
      </w:r>
    </w:p>
    <w:p>
      <w:pPr>
        <w:pStyle w:val="1OsnAbz"/>
        <w:spacing w:lineRule="auto" w:line="360" w:before="0" w:after="0"/>
        <w:ind w:firstLine="709"/>
        <w:rPr>
          <w:rFonts w:eastAsia="Calibri" w:eastAsiaTheme="minorHAnsi"/>
          <w:color w:val="auto"/>
          <w:sz w:val="22"/>
          <w:szCs w:val="22"/>
          <w:lang w:eastAsia="en-US"/>
        </w:rPr>
      </w:pPr>
      <w:r>
        <w:rPr>
          <w:rFonts w:eastAsia="Calibri" w:eastAsiaTheme="minorHAnsi"/>
          <w:color w:val="auto"/>
          <w:sz w:val="14"/>
          <w:szCs w:val="14"/>
          <w:lang w:eastAsia="en-US"/>
        </w:rPr>
        <w:t xml:space="preserve">— </w:t>
      </w:r>
      <w:r>
        <w:rPr>
          <w:rFonts w:eastAsia="Calibri" w:eastAsiaTheme="minorHAnsi"/>
          <w:color w:val="auto"/>
          <w:sz w:val="14"/>
          <w:szCs w:val="14"/>
          <w:lang w:eastAsia="en-US"/>
        </w:rPr>
        <w:t>обеспечение соответствия МПК установленным требованиям.</w:t>
      </w:r>
    </w:p>
    <w:p>
      <w:pPr>
        <w:pStyle w:val="Normal"/>
        <w:tabs>
          <w:tab w:val="left" w:pos="709" w:leader="none"/>
        </w:tabs>
        <w:spacing w:lineRule="auto" w:line="360" w:before="0" w:after="0"/>
        <w:ind w:firstLine="851"/>
        <w:rPr>
          <w:rFonts w:ascii="Arial" w:hAnsi="Arial" w:cs="Arial"/>
          <w:b/>
          <w:b/>
          <w:sz w:val="14"/>
          <w:szCs w:val="14"/>
        </w:rPr>
      </w:pPr>
      <w:r>
        <w:rPr>
          <w:rFonts w:cs="Arial" w:ascii="Arial" w:hAnsi="Arial"/>
          <w:b/>
          <w:sz w:val="14"/>
          <w:szCs w:val="14"/>
        </w:rPr>
      </w:r>
    </w:p>
    <w:p>
      <w:pPr>
        <w:pStyle w:val="Normal"/>
        <w:tabs>
          <w:tab w:val="left" w:pos="709" w:leader="none"/>
        </w:tabs>
        <w:spacing w:lineRule="auto" w:line="360" w:before="0" w:after="0"/>
        <w:ind w:firstLine="851"/>
        <w:rPr>
          <w:rFonts w:ascii="Arial" w:hAnsi="Arial" w:cs="Arial"/>
        </w:rPr>
      </w:pPr>
      <w:r>
        <w:rPr>
          <w:rFonts w:cs="Arial" w:ascii="Arial" w:hAnsi="Arial"/>
          <w:b/>
          <w:sz w:val="14"/>
          <w:szCs w:val="14"/>
        </w:rPr>
        <w:t>ДБ.2</w:t>
      </w:r>
    </w:p>
    <w:p>
      <w:pPr>
        <w:pStyle w:val="Normal"/>
        <w:tabs>
          <w:tab w:val="left" w:pos="709" w:leader="none"/>
        </w:tabs>
        <w:spacing w:lineRule="auto" w:line="360" w:before="0" w:after="0"/>
        <w:ind w:firstLine="851"/>
        <w:jc w:val="both"/>
        <w:rPr>
          <w:rFonts w:ascii="Arial" w:hAnsi="Arial" w:cs="Arial"/>
        </w:rPr>
      </w:pPr>
      <w:r>
        <w:rPr>
          <w:rFonts w:cs="Arial" w:ascii="Arial" w:hAnsi="Arial"/>
          <w:sz w:val="14"/>
          <w:szCs w:val="14"/>
        </w:rPr>
        <w:t>7.1 В документации должен быть указан метод определения указанных характеристик (см. раздел 5). В соответствии с EN 10204 применимы требования к акту по результатам приемочного испытания, пункт 3.1.</w:t>
      </w:r>
    </w:p>
    <w:p>
      <w:pPr>
        <w:pStyle w:val="Normal"/>
        <w:tabs>
          <w:tab w:val="left" w:pos="709" w:leader="none"/>
        </w:tabs>
        <w:spacing w:lineRule="auto" w:line="360" w:before="0" w:after="0"/>
        <w:ind w:firstLine="851"/>
        <w:jc w:val="both"/>
        <w:rPr>
          <w:rFonts w:ascii="Arial" w:hAnsi="Arial" w:cs="Arial"/>
        </w:rPr>
      </w:pPr>
      <w:r>
        <w:rPr>
          <w:rFonts w:cs="Arial" w:ascii="Arial" w:hAnsi="Arial"/>
          <w:sz w:val="14"/>
          <w:szCs w:val="14"/>
        </w:rPr>
        <w:t>7.2.1 Рекомендуется проводить отбор проб в соответствии со стандартом ISO 3954 или ASTM B 215. Данные стандарты устанавливают ряд методов отбора проб для получения небольшой пробы, являющейся репрезентативной для общего количества МПК (см., например, рисунок 4). Они также описывают процедуры разделения проб МПК на более мелкие пробы для испытаний для определения химических, физических и механических свойств материала. В стандарте различают отбор проб МПК в потоке (например, с конвейера или при транспортировании из одного контейнера в другой) и МПК в транспортной упаковке. Кроме того, в данных стандартах установлены методы отбора проб составных материалов, содержащих связующие вещества или добавки.</w:t>
      </w:r>
    </w:p>
    <w:p>
      <w:pPr>
        <w:pStyle w:val="Normal"/>
        <w:tabs>
          <w:tab w:val="left" w:pos="709" w:leader="none"/>
        </w:tabs>
        <w:spacing w:lineRule="auto" w:line="360" w:before="0" w:after="0"/>
        <w:ind w:firstLine="851"/>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851"/>
        <w:rPr>
          <w:rFonts w:ascii="Arial" w:hAnsi="Arial" w:cs="Arial"/>
        </w:rPr>
      </w:pPr>
      <w:r>
        <w:rPr>
          <w:rFonts w:cs="Arial" w:ascii="Arial" w:hAnsi="Arial"/>
          <w:b/>
          <w:sz w:val="14"/>
          <w:szCs w:val="14"/>
        </w:rPr>
        <w:t>ДБ.3</w:t>
      </w:r>
    </w:p>
    <w:p>
      <w:pPr>
        <w:pStyle w:val="Normal"/>
        <w:widowControl w:val="false"/>
        <w:spacing w:lineRule="auto" w:line="360" w:before="0" w:after="0"/>
        <w:ind w:firstLine="709"/>
        <w:jc w:val="both"/>
        <w:rPr>
          <w:rFonts w:ascii="Arial" w:hAnsi="Arial" w:cs="Arial"/>
        </w:rPr>
      </w:pPr>
      <w:r>
        <w:rPr>
          <w:rFonts w:cs="Arial" w:ascii="Arial" w:hAnsi="Arial"/>
          <w:sz w:val="14"/>
          <w:szCs w:val="14"/>
        </w:rPr>
        <w:t>Международный стандарт ISO 3954 четко определяет количество проб, которые должны быть взяты из одной партии аналогичной МПК, в зависимости от количества упаковок (см. таблицу 3). Методы отбора проб для получения репрезентативных образцов также подробно описаны в международном стандарте ISO 3954.</w:t>
      </w:r>
    </w:p>
    <w:p>
      <w:pPr>
        <w:pStyle w:val="Normal"/>
        <w:widowControl w:val="false"/>
        <w:spacing w:before="0" w:after="0"/>
        <w:jc w:val="both"/>
        <w:rPr>
          <w:rFonts w:ascii="Arial" w:hAnsi="Arial" w:cs="Arial"/>
          <w:sz w:val="20"/>
          <w:szCs w:val="20"/>
        </w:rPr>
      </w:pPr>
      <w:r>
        <w:rPr>
          <w:rFonts w:cs="Arial" w:ascii="Arial" w:hAnsi="Arial"/>
          <w:spacing w:val="40"/>
          <w:sz w:val="14"/>
          <w:szCs w:val="14"/>
        </w:rPr>
        <w:t>Таблица</w:t>
      </w:r>
      <w:r>
        <w:rPr>
          <w:rFonts w:cs="Arial" w:ascii="Arial" w:hAnsi="Arial"/>
          <w:sz w:val="14"/>
          <w:szCs w:val="14"/>
        </w:rPr>
        <w:t xml:space="preserve"> ДБ.1 – схема разделения проб</w:t>
      </w:r>
    </w:p>
    <w:tbl>
      <w:tblPr>
        <w:tblStyle w:val="af0"/>
        <w:tblW w:w="7225" w:type="dxa"/>
        <w:jc w:val="left"/>
        <w:tblInd w:w="0" w:type="dxa"/>
        <w:tblCellMar>
          <w:top w:w="0" w:type="dxa"/>
          <w:left w:w="108" w:type="dxa"/>
          <w:bottom w:w="0" w:type="dxa"/>
          <w:right w:w="108" w:type="dxa"/>
        </w:tblCellMar>
        <w:tblLook w:val="04a0" w:noVBand="1" w:noHBand="0" w:lastColumn="0" w:firstColumn="1" w:lastRow="0" w:firstRow="1"/>
      </w:tblPr>
      <w:tblGrid>
        <w:gridCol w:w="3680"/>
        <w:gridCol w:w="3544"/>
      </w:tblGrid>
      <w:tr>
        <w:trPr/>
        <w:tc>
          <w:tcPr>
            <w:tcW w:w="3680" w:type="dxa"/>
            <w:tcBorders/>
            <w:shd w:fill="auto" w:val="clear"/>
          </w:tcPr>
          <w:p>
            <w:pPr>
              <w:pStyle w:val="Normal"/>
              <w:widowControl w:val="false"/>
              <w:spacing w:lineRule="auto" w:line="240" w:before="0" w:after="0"/>
              <w:jc w:val="both"/>
              <w:rPr>
                <w:rFonts w:ascii="Arial" w:hAnsi="Arial" w:cs="Arial"/>
                <w:sz w:val="20"/>
                <w:szCs w:val="20"/>
              </w:rPr>
            </w:pPr>
            <w:r>
              <w:rPr>
                <w:rFonts w:cs="Arial" w:ascii="Arial" w:hAnsi="Arial"/>
                <w:sz w:val="14"/>
                <w:szCs w:val="14"/>
              </w:rPr>
              <w:t>Число упаковок в партии или производственной партии</w:t>
            </w:r>
          </w:p>
        </w:tc>
        <w:tc>
          <w:tcPr>
            <w:tcW w:w="3544" w:type="dxa"/>
            <w:tcBorders/>
            <w:shd w:fill="auto" w:val="clear"/>
          </w:tcPr>
          <w:p>
            <w:pPr>
              <w:pStyle w:val="Normal"/>
              <w:widowControl w:val="false"/>
              <w:spacing w:lineRule="auto" w:line="240" w:before="0" w:after="0"/>
              <w:jc w:val="both"/>
              <w:rPr>
                <w:rFonts w:ascii="Arial" w:hAnsi="Arial" w:cs="Arial"/>
                <w:sz w:val="20"/>
                <w:szCs w:val="20"/>
              </w:rPr>
            </w:pPr>
            <w:r>
              <w:rPr>
                <w:rFonts w:cs="Arial" w:ascii="Arial" w:hAnsi="Arial"/>
                <w:sz w:val="14"/>
                <w:szCs w:val="14"/>
              </w:rPr>
              <w:t>Количество упаковок, из которых берут точечные пробы (выбираются случайным образом)</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1 до 5</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все</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6 до 11</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5</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12 до 20</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6</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21 до 35</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7</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36 до 60</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8</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61 до 99</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9</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100 до 149</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10</w:t>
            </w:r>
          </w:p>
        </w:tc>
      </w:tr>
    </w:tbl>
    <w:p>
      <w:pPr>
        <w:pStyle w:val="Normal"/>
        <w:spacing w:before="0" w:after="0"/>
        <w:rPr>
          <w:rFonts w:ascii="Arial" w:hAnsi="Arial" w:cs="Arial"/>
          <w:i/>
          <w:i/>
          <w:sz w:val="20"/>
          <w:szCs w:val="20"/>
        </w:rPr>
      </w:pPr>
      <w:r>
        <w:rPr>
          <w:rFonts w:cs="Arial" w:ascii="Arial" w:hAnsi="Arial"/>
          <w:i/>
          <w:sz w:val="14"/>
          <w:szCs w:val="14"/>
        </w:rPr>
        <w:t>Продолжение таблицы ДБ.1</w:t>
      </w:r>
    </w:p>
    <w:tbl>
      <w:tblPr>
        <w:tblStyle w:val="af0"/>
        <w:tblW w:w="7225" w:type="dxa"/>
        <w:jc w:val="left"/>
        <w:tblInd w:w="0" w:type="dxa"/>
        <w:tblCellMar>
          <w:top w:w="0" w:type="dxa"/>
          <w:left w:w="108" w:type="dxa"/>
          <w:bottom w:w="0" w:type="dxa"/>
          <w:right w:w="108" w:type="dxa"/>
        </w:tblCellMar>
        <w:tblLook w:val="04a0" w:noVBand="1" w:noHBand="0" w:lastColumn="0" w:firstColumn="1" w:lastRow="0" w:firstRow="1"/>
      </w:tblPr>
      <w:tblGrid>
        <w:gridCol w:w="3680"/>
        <w:gridCol w:w="3544"/>
      </w:tblGrid>
      <w:tr>
        <w:trPr/>
        <w:tc>
          <w:tcPr>
            <w:tcW w:w="3680" w:type="dxa"/>
            <w:tcBorders/>
            <w:shd w:fill="auto" w:val="clear"/>
          </w:tcPr>
          <w:p>
            <w:pPr>
              <w:pStyle w:val="Normal"/>
              <w:widowControl w:val="false"/>
              <w:spacing w:lineRule="auto" w:line="240" w:before="0" w:after="0"/>
              <w:jc w:val="both"/>
              <w:rPr>
                <w:rFonts w:ascii="Arial" w:hAnsi="Arial" w:cs="Arial"/>
                <w:sz w:val="20"/>
                <w:szCs w:val="20"/>
              </w:rPr>
            </w:pPr>
            <w:r>
              <w:rPr>
                <w:rFonts w:cs="Arial" w:ascii="Arial" w:hAnsi="Arial"/>
                <w:sz w:val="14"/>
                <w:szCs w:val="14"/>
              </w:rPr>
              <w:t>Число упаковок в партии или производственной партии</w:t>
            </w:r>
          </w:p>
        </w:tc>
        <w:tc>
          <w:tcPr>
            <w:tcW w:w="3544" w:type="dxa"/>
            <w:tcBorders/>
            <w:shd w:fill="auto" w:val="clear"/>
          </w:tcPr>
          <w:p>
            <w:pPr>
              <w:pStyle w:val="Normal"/>
              <w:widowControl w:val="false"/>
              <w:spacing w:lineRule="auto" w:line="240" w:before="0" w:after="0"/>
              <w:jc w:val="both"/>
              <w:rPr>
                <w:rFonts w:ascii="Arial" w:hAnsi="Arial" w:cs="Arial"/>
                <w:sz w:val="20"/>
                <w:szCs w:val="20"/>
              </w:rPr>
            </w:pPr>
            <w:r>
              <w:rPr>
                <w:rFonts w:cs="Arial" w:ascii="Arial" w:hAnsi="Arial"/>
                <w:sz w:val="14"/>
                <w:szCs w:val="14"/>
              </w:rPr>
              <w:t>Количество упаковок, из которых берут точечные пробы (выбираются случайным образом)</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150 до 199</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11</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200 до 299</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12</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от 300 до 399</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13</w:t>
            </w:r>
          </w:p>
        </w:tc>
      </w:tr>
      <w:tr>
        <w:trPr/>
        <w:tc>
          <w:tcPr>
            <w:tcW w:w="3680"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свыше 400</w:t>
            </w:r>
          </w:p>
        </w:tc>
        <w:tc>
          <w:tcPr>
            <w:tcW w:w="3544" w:type="dxa"/>
            <w:tcBorders/>
            <w:shd w:fill="auto" w:val="clear"/>
          </w:tcPr>
          <w:p>
            <w:pPr>
              <w:pStyle w:val="Normal"/>
              <w:widowControl w:val="false"/>
              <w:spacing w:lineRule="auto" w:line="240" w:before="0" w:after="0"/>
              <w:jc w:val="center"/>
              <w:rPr>
                <w:rFonts w:ascii="Arial" w:hAnsi="Arial" w:cs="Arial"/>
                <w:sz w:val="20"/>
                <w:szCs w:val="20"/>
              </w:rPr>
            </w:pPr>
            <w:r>
              <w:rPr>
                <w:rFonts w:cs="Arial" w:ascii="Arial" w:hAnsi="Arial"/>
                <w:sz w:val="14"/>
                <w:szCs w:val="14"/>
              </w:rPr>
              <w:t>13 + 1 на каждые дополнительные 100 упаковочные единицы</w:t>
            </w:r>
          </w:p>
        </w:tc>
      </w:tr>
    </w:tbl>
    <w:p>
      <w:pPr>
        <w:pStyle w:val="Normal"/>
        <w:tabs>
          <w:tab w:val="left" w:pos="709" w:leader="none"/>
        </w:tabs>
        <w:spacing w:lineRule="auto" w:line="360" w:before="0" w:after="0"/>
        <w:ind w:firstLine="851"/>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851"/>
        <w:jc w:val="both"/>
        <w:rPr>
          <w:rFonts w:ascii="Arial" w:hAnsi="Arial" w:cs="Arial"/>
          <w:sz w:val="14"/>
          <w:szCs w:val="14"/>
        </w:rPr>
      </w:pPr>
      <w:r>
        <w:rPr>
          <w:rFonts w:cs="Arial" w:ascii="Arial" w:hAnsi="Arial"/>
          <w:sz w:val="14"/>
          <w:szCs w:val="14"/>
        </w:rPr>
      </w:r>
      <w:r>
        <w:br w:type="page"/>
      </w:r>
    </w:p>
    <w:p>
      <w:pPr>
        <w:pStyle w:val="Normal"/>
        <w:tabs>
          <w:tab w:val="left" w:pos="709" w:leader="none"/>
        </w:tabs>
        <w:spacing w:lineRule="auto" w:line="360" w:before="120" w:after="0"/>
        <w:rPr>
          <w:rFonts w:ascii="Arial" w:hAnsi="Arial" w:cs="Arial"/>
          <w:sz w:val="14"/>
          <w:szCs w:val="14"/>
        </w:rPr>
      </w:pPr>
      <w:r>
        <w:rPr>
          <w:rFonts w:cs="Arial" w:ascii="Arial" w:hAnsi="Arial"/>
          <w:sz w:val="14"/>
          <w:szCs w:val="14"/>
        </w:rPr>
      </w:r>
    </w:p>
    <w:p>
      <w:pPr>
        <w:pStyle w:val="Normal"/>
        <w:pBdr>
          <w:top w:val="single" w:sz="4" w:space="1" w:color="000000"/>
        </w:pBdr>
        <w:tabs>
          <w:tab w:val="left" w:pos="709" w:leader="none"/>
        </w:tabs>
        <w:spacing w:lineRule="auto" w:line="360" w:before="0" w:after="0"/>
        <w:jc w:val="both"/>
        <w:rPr>
          <w:rFonts w:ascii="Arial" w:hAnsi="Arial" w:cs="Arial"/>
          <w:sz w:val="24"/>
          <w:szCs w:val="24"/>
        </w:rPr>
      </w:pPr>
      <w:r>
        <w:rPr>
          <w:rFonts w:cs="Arial" w:ascii="Arial" w:hAnsi="Arial"/>
          <w:sz w:val="14"/>
          <w:szCs w:val="14"/>
        </w:rPr>
        <w:t>УДК:621.762:006.354</w:t>
        <w:tab/>
        <w:tab/>
        <w:tab/>
        <w:tab/>
        <w:tab/>
        <w:t>ОКС:</w:t>
        <w:tab/>
        <w:t>77.160</w:t>
        <w:tab/>
        <w:t xml:space="preserve"> </w:t>
      </w:r>
    </w:p>
    <w:p>
      <w:pPr>
        <w:pStyle w:val="ListParagraph"/>
        <w:widowControl w:val="false"/>
        <w:tabs>
          <w:tab w:val="clear" w:pos="709"/>
          <w:tab w:val="left" w:pos="851" w:leader="none"/>
        </w:tabs>
        <w:spacing w:lineRule="auto" w:line="360" w:before="240" w:after="0"/>
        <w:ind w:left="0" w:firstLine="709"/>
        <w:contextualSpacing/>
        <w:jc w:val="both"/>
        <w:rPr>
          <w:rFonts w:ascii="Arial" w:hAnsi="Arial" w:cs="Arial"/>
          <w:sz w:val="24"/>
          <w:szCs w:val="24"/>
        </w:rPr>
      </w:pPr>
      <w:r>
        <w:rPr>
          <w:rFonts w:cs="Arial" w:ascii="Arial" w:hAnsi="Arial"/>
          <w:sz w:val="14"/>
          <w:szCs w:val="14"/>
        </w:rPr>
        <w:t>Ключевые слова: аддитивные технологии, композиции металлопорошковые, МПК, управление жизненным циклом, смесь МПК, утилизация</w:t>
      </w:r>
    </w:p>
    <w:p>
      <w:pPr>
        <w:pStyle w:val="Normal"/>
        <w:pBdr>
          <w:bottom w:val="single" w:sz="6" w:space="1" w:color="000000"/>
        </w:pBdr>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tabs>
          <w:tab w:val="left" w:pos="709" w:leader="none"/>
        </w:tabs>
        <w:spacing w:lineRule="auto" w:line="360" w:before="0" w:after="0"/>
        <w:ind w:firstLine="709"/>
        <w:jc w:val="both"/>
        <w:rPr>
          <w:rFonts w:ascii="Arial" w:hAnsi="Arial" w:cs="Arial"/>
          <w:sz w:val="14"/>
          <w:szCs w:val="14"/>
        </w:rPr>
      </w:pPr>
      <w:r>
        <w:rPr>
          <w:rFonts w:cs="Arial" w:ascii="Arial" w:hAnsi="Arial"/>
          <w:sz w:val="14"/>
          <w:szCs w:val="14"/>
        </w:rPr>
      </w:r>
    </w:p>
    <w:p>
      <w:pPr>
        <w:pStyle w:val="Normal"/>
        <w:tabs>
          <w:tab w:val="left" w:pos="709" w:leader="none"/>
          <w:tab w:val="right" w:pos="9637" w:leader="none"/>
        </w:tabs>
        <w:spacing w:lineRule="auto" w:line="360" w:before="0" w:after="0"/>
        <w:rPr>
          <w:rFonts w:ascii="Arial" w:hAnsi="Arial" w:cs="Arial"/>
          <w:sz w:val="24"/>
          <w:szCs w:val="24"/>
        </w:rPr>
      </w:pPr>
      <w:r>
        <w:rPr>
          <w:rFonts w:cs="Arial" w:ascii="Arial" w:hAnsi="Arial"/>
          <w:color w:val="2C353D"/>
          <w:sz w:val="14"/>
          <w:szCs w:val="14"/>
          <w:shd w:fill="FFFFFF" w:val="clear"/>
        </w:rPr>
        <w:t>Исполнительный директор Ассоциации</w:t>
        <w:br/>
        <w:t>развития аддитивных технологий</w:t>
        <w:tab/>
        <w:t>О.Г. Оспенникова</w:t>
      </w:r>
    </w:p>
    <w:p>
      <w:pPr>
        <w:pStyle w:val="Normal"/>
        <w:tabs>
          <w:tab w:val="left" w:pos="709" w:leader="none"/>
          <w:tab w:val="right" w:pos="9637" w:leader="none"/>
        </w:tabs>
        <w:spacing w:lineRule="auto" w:line="360" w:before="0" w:after="0"/>
        <w:rPr>
          <w:sz w:val="14"/>
          <w:szCs w:val="14"/>
        </w:rPr>
      </w:pPr>
      <w:r>
        <w:rPr>
          <w:sz w:val="14"/>
          <w:szCs w:val="14"/>
        </w:rPr>
      </w:r>
    </w:p>
    <w:sectPr>
      <w:headerReference w:type="even" r:id="rId38"/>
      <w:headerReference w:type="default" r:id="rId39"/>
      <w:headerReference w:type="first" r:id="rId40"/>
      <w:footerReference w:type="even" r:id="rId41"/>
      <w:footerReference w:type="default" r:id="rId42"/>
      <w:type w:val="nextPage"/>
      <w:pgSz w:w="11906" w:h="16838"/>
      <w:pgMar w:left="851" w:right="1418" w:header="708" w:top="1134" w:footer="708" w:bottom="1134" w:gutter="0"/>
      <w:pgNumType w:start="1"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Verdana">
    <w:charset w:val="01"/>
    <w:family w:val="roman"/>
    <w:pitch w:val="variable"/>
  </w:font>
  <w:font w:name="Liberation Sans">
    <w:altName w:val="Arial"/>
    <w:charset w:val="01"/>
    <w:family w:val="swiss"/>
    <w:pitch w:val="variable"/>
  </w:font>
  <w:font w:name="Calibri Light">
    <w:charset w:val="01"/>
    <w:family w:val="roman"/>
    <w:pitch w:val="variable"/>
  </w:font>
  <w:font w:name="Symbo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rFonts w:ascii="Arial" w:hAnsi="Arial" w:cs="Arial"/>
        <w:sz w:val="24"/>
        <w:szCs w:val="24"/>
      </w:rPr>
    </w:pPr>
    <w:r>
      <w:rPr>
        <w:rFonts w:cs="Arial" w:ascii="Arial" w:hAnsi="Arial"/>
        <w:sz w:val="24"/>
        <w:szCs w:val="24"/>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07346904"/>
    </w:sdtPr>
    <w:sdtContent>
      <w:p>
        <w:pPr>
          <w:pStyle w:val="Style29"/>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4</w:t>
        </w:r>
        <w:r>
          <w:rPr>
            <w:rFonts w:cs="Arial" w:ascii="Arial" w:hAnsi="Arial"/>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24957601"/>
    </w:sdtPr>
    <w:sdtContent>
      <w:p>
        <w:pPr>
          <w:pStyle w:val="Style29"/>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3</w:t>
        </w:r>
        <w:r>
          <w:rPr>
            <w:rFonts w:cs="Arial" w:ascii="Arial" w:hAnsi="Arial"/>
          </w:rPr>
          <w:fldChar w:fldCharType="end"/>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12825507"/>
    </w:sdtPr>
    <w:sdtContent>
      <w:p>
        <w:pPr>
          <w:pStyle w:val="Style29"/>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32</w:t>
        </w:r>
        <w:r>
          <w:rPr>
            <w:rFonts w:cs="Arial" w:ascii="Arial" w:hAnsi="Arial"/>
          </w:rPr>
          <w:fldChar w:fldCharType="end"/>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81603531"/>
    </w:sdtPr>
    <w:sdtContent>
      <w:p>
        <w:pPr>
          <w:pStyle w:val="Style29"/>
          <w:jc w:val="right"/>
          <w:rPr/>
        </w:pPr>
        <w:r>
          <w:rPr>
            <w:rFonts w:cs="Arial" w:ascii="Arial" w:hAnsi="Arial"/>
          </w:rPr>
          <w:fldChar w:fldCharType="begin"/>
        </w:r>
        <w:r>
          <w:rPr>
            <w:rFonts w:cs="Arial" w:ascii="Arial" w:hAnsi="Arial"/>
          </w:rPr>
          <w:instrText> PAGE </w:instrText>
        </w:r>
        <w:r>
          <w:rPr>
            <w:rFonts w:cs="Arial" w:ascii="Arial" w:hAnsi="Arial"/>
          </w:rPr>
          <w:fldChar w:fldCharType="separate"/>
        </w:r>
        <w:r>
          <w:rPr>
            <w:rFonts w:cs="Arial" w:ascii="Arial" w:hAnsi="Arial"/>
          </w:rPr>
          <w:t>21</w:t>
        </w:r>
        <w:r>
          <w:rPr>
            <w:rFonts w:cs="Arial" w:ascii="Arial" w:hAnsi="Arial"/>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right"/>
      <w:rPr>
        <w:sz w:val="14"/>
        <w:szCs w:val="14"/>
      </w:rPr>
    </w:pPr>
    <w:r>
      <w:rPr>
        <w:sz w:val="14"/>
        <w:szCs w:val="1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Fonts w:cs="Arial" w:ascii="Arial" w:hAnsi="Arial"/>
        <w:b/>
        <w:sz w:val="24"/>
        <w:szCs w:val="24"/>
      </w:rPr>
      <w:t>ГОСТ Р</w:t>
    </w:r>
    <w:r>
      <w:rPr>
        <w:rFonts w:cs="Arial" w:ascii="Arial" w:hAnsi="Arial"/>
        <w:i/>
        <w:sz w:val="24"/>
        <w:szCs w:val="24"/>
      </w:rPr>
      <w:t xml:space="preserve"> </w:t>
    </w:r>
  </w:p>
  <w:p>
    <w:pPr>
      <w:pStyle w:val="Style28"/>
      <w:rPr/>
    </w:pPr>
    <w:r>
      <w:rPr>
        <w:rFonts w:cs="Arial" w:ascii="Arial" w:hAnsi="Arial"/>
        <w:i/>
        <w:sz w:val="24"/>
        <w:szCs w:val="24"/>
      </w:rPr>
      <w:t>(проект, первая редакция)</w:t>
    </w:r>
  </w:p>
  <w:p>
    <w:pPr>
      <w:pStyle w:val="Style28"/>
      <w:rPr>
        <w:rFonts w:ascii="Arial" w:hAnsi="Arial" w:cs="Arial"/>
        <w:i/>
        <w:i/>
        <w:sz w:val="24"/>
        <w:szCs w:val="24"/>
      </w:rPr>
    </w:pPr>
    <w:r>
      <w:rPr>
        <w:rFonts w:cs="Arial" w:ascii="Arial" w:hAnsi="Arial"/>
        <w:i/>
        <w:sz w:val="24"/>
        <w:szCs w:val="24"/>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ind w:firstLine="5670"/>
      <w:rPr/>
    </w:pPr>
    <w:r>
      <w:rPr>
        <w:rFonts w:cs="Arial" w:ascii="Arial" w:hAnsi="Arial"/>
        <w:b/>
        <w:sz w:val="24"/>
        <w:szCs w:val="32"/>
      </w:rPr>
      <w:t>ГОСТ Р</w:t>
    </w:r>
    <w:r>
      <w:rPr>
        <w:rFonts w:cs="Arial" w:ascii="Arial" w:hAnsi="Arial"/>
        <w:i/>
        <w:sz w:val="24"/>
        <w:szCs w:val="24"/>
      </w:rPr>
      <w:t xml:space="preserve"> </w:t>
    </w:r>
  </w:p>
  <w:p>
    <w:pPr>
      <w:pStyle w:val="Style28"/>
      <w:ind w:firstLine="5529"/>
      <w:rPr/>
    </w:pPr>
    <w:r>
      <w:rPr>
        <w:rFonts w:cs="Arial" w:ascii="Arial" w:hAnsi="Arial"/>
        <w:i/>
        <w:sz w:val="24"/>
        <w:szCs w:val="24"/>
      </w:rPr>
      <w:t>(проект, первая редакция)</w:t>
    </w:r>
  </w:p>
  <w:p>
    <w:pPr>
      <w:pStyle w:val="Style28"/>
      <w:rPr>
        <w:sz w:val="18"/>
      </w:rPr>
    </w:pPr>
    <w:r>
      <w:rPr>
        <w:sz w:val="18"/>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Fonts w:cs="Arial" w:ascii="Arial" w:hAnsi="Arial"/>
        <w:b/>
        <w:sz w:val="24"/>
        <w:szCs w:val="24"/>
      </w:rPr>
      <w:t>ГОСТ Р</w:t>
    </w:r>
    <w:r>
      <w:rPr>
        <w:rFonts w:cs="Arial" w:ascii="Arial" w:hAnsi="Arial"/>
        <w:i/>
        <w:sz w:val="24"/>
        <w:szCs w:val="24"/>
      </w:rPr>
      <w:t xml:space="preserve"> </w:t>
    </w:r>
  </w:p>
  <w:p>
    <w:pPr>
      <w:pStyle w:val="Style28"/>
      <w:rPr/>
    </w:pPr>
    <w:r>
      <w:rPr>
        <w:rFonts w:cs="Arial" w:ascii="Arial" w:hAnsi="Arial"/>
        <w:i/>
        <w:sz w:val="24"/>
        <w:szCs w:val="24"/>
      </w:rPr>
      <w:t>(проект, первая редакция)</w:t>
    </w:r>
  </w:p>
  <w:p>
    <w:pPr>
      <w:pStyle w:val="Style28"/>
      <w:rPr>
        <w:rFonts w:ascii="Arial" w:hAnsi="Arial" w:cs="Arial"/>
        <w:i/>
        <w:i/>
        <w:sz w:val="24"/>
        <w:szCs w:val="24"/>
      </w:rPr>
    </w:pPr>
    <w:r>
      <w:rPr>
        <w:rFonts w:cs="Arial" w:ascii="Arial" w:hAnsi="Arial"/>
        <w:i/>
        <w:sz w:val="24"/>
        <w:szCs w:val="24"/>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ind w:firstLine="5670"/>
      <w:rPr/>
    </w:pPr>
    <w:r>
      <w:rPr>
        <w:rFonts w:cs="Arial" w:ascii="Arial" w:hAnsi="Arial"/>
        <w:b/>
        <w:sz w:val="24"/>
        <w:szCs w:val="32"/>
      </w:rPr>
      <w:t>ГОСТ Р</w:t>
    </w:r>
    <w:r>
      <w:rPr>
        <w:rFonts w:cs="Arial" w:ascii="Arial" w:hAnsi="Arial"/>
        <w:i/>
        <w:sz w:val="24"/>
        <w:szCs w:val="24"/>
      </w:rPr>
      <w:t xml:space="preserve"> </w:t>
    </w:r>
  </w:p>
  <w:p>
    <w:pPr>
      <w:pStyle w:val="Style28"/>
      <w:ind w:firstLine="5529"/>
      <w:rPr/>
    </w:pPr>
    <w:r>
      <w:rPr>
        <w:rFonts w:cs="Arial" w:ascii="Arial" w:hAnsi="Arial"/>
        <w:i/>
        <w:sz w:val="24"/>
        <w:szCs w:val="24"/>
      </w:rPr>
      <w:t>(проект, первая редакция)</w:t>
    </w:r>
  </w:p>
  <w:p>
    <w:pPr>
      <w:pStyle w:val="Style28"/>
      <w:rPr>
        <w:sz w:val="18"/>
      </w:rPr>
    </w:pPr>
    <w:r>
      <w:rPr>
        <w:sz w:val="18"/>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ind w:left="5529" w:hanging="0"/>
      <w:rPr>
        <w:rFonts w:ascii="Arial" w:hAnsi="Arial" w:cs="Arial"/>
        <w:b/>
        <w:b/>
        <w:sz w:val="24"/>
        <w:szCs w:val="24"/>
      </w:rPr>
    </w:pPr>
    <w:r>
      <w:rPr>
        <w:rFonts w:cs="Arial" w:ascii="Arial" w:hAnsi="Arial"/>
        <w:b/>
        <w:sz w:val="24"/>
        <w:szCs w:val="24"/>
      </w:rPr>
      <w:t>ГОСТ Р</w:t>
    </w:r>
  </w:p>
  <w:p>
    <w:pPr>
      <w:pStyle w:val="Style28"/>
      <w:ind w:firstLine="5529"/>
      <w:rPr>
        <w:rFonts w:ascii="Arial" w:hAnsi="Arial" w:cs="Arial"/>
        <w:i/>
        <w:i/>
        <w:sz w:val="24"/>
        <w:szCs w:val="24"/>
      </w:rPr>
    </w:pPr>
    <w:r>
      <w:rPr>
        <w:rFonts w:cs="Arial" w:ascii="Arial" w:hAnsi="Arial"/>
        <w:i/>
        <w:sz w:val="24"/>
        <w:szCs w:val="24"/>
      </w:rPr>
      <w:t>(проект, первая редакция)</w:t>
    </w:r>
  </w:p>
  <w:p>
    <w:pPr>
      <w:pStyle w:val="Style28"/>
      <w:ind w:left="5529" w:firstLine="5529"/>
      <w:rPr>
        <w:b/>
        <w:b/>
        <w:sz w:val="24"/>
        <w:szCs w:val="24"/>
      </w:rPr>
    </w:pPr>
    <w:r>
      <w:rPr>
        <w:b/>
        <w:sz w:val="24"/>
        <w:szCs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432" w:hanging="432"/>
      </w:pPr>
    </w:lvl>
    <w:lvl w:ilvl="1">
      <w:start w:val="1"/>
      <w:pStyle w:val="2"/>
      <w:numFmt w:val="none"/>
      <w:suff w:val="nothing"/>
      <w:lvlText w:val=""/>
      <w:lvlJc w:val="left"/>
      <w:pPr>
        <w:ind w:left="576" w:hanging="576"/>
      </w:pPr>
    </w:lvl>
    <w:lvl w:ilvl="2">
      <w:start w:val="1"/>
      <w:pStyle w:val="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9717" w:hanging="360"/>
      </w:pPr>
      <w:rPr>
        <w:rFonts w:ascii="Arial" w:hAnsi="Arial" w:cs="Times New Roman"/>
        <w:color w:val="auto"/>
      </w:rPr>
    </w:lvl>
    <w:lvl w:ilvl="1">
      <w:start w:val="1"/>
      <w:numFmt w:val="decimal"/>
      <w:lvlText w:val="%1.%2"/>
      <w:lvlJc w:val="left"/>
      <w:pPr>
        <w:ind w:left="1823" w:hanging="405"/>
      </w:pPr>
    </w:lvl>
    <w:lvl w:ilvl="2">
      <w:start w:val="1"/>
      <w:numFmt w:val="decimal"/>
      <w:lvlText w:val="%1.%2.%3"/>
      <w:lvlJc w:val="left"/>
      <w:pPr>
        <w:ind w:left="10077" w:hanging="720"/>
      </w:pPr>
    </w:lvl>
    <w:lvl w:ilvl="3">
      <w:start w:val="1"/>
      <w:numFmt w:val="decimal"/>
      <w:lvlText w:val="%1.%2.%3.%4"/>
      <w:lvlJc w:val="left"/>
      <w:pPr>
        <w:ind w:left="10437" w:hanging="1080"/>
      </w:pPr>
    </w:lvl>
    <w:lvl w:ilvl="4">
      <w:start w:val="1"/>
      <w:numFmt w:val="decimal"/>
      <w:lvlText w:val="%1.%2.%3.%4.%5"/>
      <w:lvlJc w:val="left"/>
      <w:pPr>
        <w:ind w:left="10437" w:hanging="1080"/>
      </w:pPr>
    </w:lvl>
    <w:lvl w:ilvl="5">
      <w:start w:val="1"/>
      <w:numFmt w:val="decimal"/>
      <w:lvlText w:val="%1.%2.%3.%4.%5.%6"/>
      <w:lvlJc w:val="left"/>
      <w:pPr>
        <w:ind w:left="10797" w:hanging="1440"/>
      </w:pPr>
    </w:lvl>
    <w:lvl w:ilvl="6">
      <w:start w:val="1"/>
      <w:numFmt w:val="decimal"/>
      <w:lvlText w:val="%1.%2.%3.%4.%5.%6.%7"/>
      <w:lvlJc w:val="left"/>
      <w:pPr>
        <w:ind w:left="10797" w:hanging="1440"/>
      </w:pPr>
    </w:lvl>
    <w:lvl w:ilvl="7">
      <w:start w:val="1"/>
      <w:numFmt w:val="decimal"/>
      <w:lvlText w:val="%1.%2.%3.%4.%5.%6.%7.%8"/>
      <w:lvlJc w:val="left"/>
      <w:pPr>
        <w:ind w:left="11157" w:hanging="1800"/>
      </w:pPr>
    </w:lvl>
    <w:lvl w:ilvl="8">
      <w:start w:val="1"/>
      <w:numFmt w:val="decimal"/>
      <w:lvlText w:val="%1.%2.%3.%4.%5.%6.%7.%8.%9"/>
      <w:lvlJc w:val="left"/>
      <w:pPr>
        <w:ind w:left="11157" w:hanging="1800"/>
      </w:pPr>
    </w:lvl>
  </w:abstractNum>
  <w:abstractNum w:abstractNumId="3">
    <w:lvl w:ilvl="0">
      <w:start w:val="4"/>
      <w:numFmt w:val="decimal"/>
      <w:lvlText w:val="%1"/>
      <w:lvlJc w:val="left"/>
      <w:pPr>
        <w:ind w:left="927" w:hanging="360"/>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9"/>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qFormat/>
    <w:pPr>
      <w:keepNext w:val="true"/>
      <w:widowControl w:val="false"/>
      <w:numPr>
        <w:ilvl w:val="0"/>
        <w:numId w:val="1"/>
      </w:numPr>
      <w:spacing w:lineRule="auto" w:line="240" w:before="120" w:after="120"/>
      <w:ind w:left="0" w:hanging="0"/>
      <w:jc w:val="center"/>
      <w:outlineLvl w:val="0"/>
    </w:pPr>
    <w:rPr>
      <w:rFonts w:ascii="Times New Roman" w:hAnsi="Times New Roman" w:eastAsia="Times New Roman" w:cs="Arial"/>
      <w:b/>
      <w:bCs/>
      <w:sz w:val="24"/>
      <w:szCs w:val="32"/>
      <w:lang w:eastAsia="ar-SA"/>
    </w:rPr>
  </w:style>
  <w:style w:type="paragraph" w:styleId="2">
    <w:name w:val="Heading 2"/>
    <w:basedOn w:val="Normal"/>
    <w:next w:val="Normal"/>
    <w:link w:val="20"/>
    <w:qFormat/>
    <w:pPr>
      <w:keepNext w:val="true"/>
      <w:widowControl w:val="false"/>
      <w:numPr>
        <w:ilvl w:val="1"/>
        <w:numId w:val="1"/>
      </w:numPr>
      <w:spacing w:lineRule="auto" w:line="240" w:before="120" w:after="120"/>
      <w:jc w:val="center"/>
      <w:outlineLvl w:val="1"/>
    </w:pPr>
    <w:rPr>
      <w:rFonts w:ascii="Times New Roman" w:hAnsi="Times New Roman" w:eastAsia="Times New Roman" w:cs="Arial"/>
      <w:b/>
      <w:bCs/>
      <w:iCs/>
      <w:sz w:val="24"/>
      <w:szCs w:val="28"/>
      <w:lang w:eastAsia="ar-SA"/>
    </w:rPr>
  </w:style>
  <w:style w:type="paragraph" w:styleId="3">
    <w:name w:val="Heading 3"/>
    <w:basedOn w:val="Normal"/>
    <w:next w:val="Normal"/>
    <w:link w:val="30"/>
    <w:qFormat/>
    <w:pPr>
      <w:keepNext w:val="true"/>
      <w:widowControl w:val="false"/>
      <w:numPr>
        <w:ilvl w:val="2"/>
        <w:numId w:val="1"/>
      </w:numPr>
      <w:spacing w:lineRule="auto" w:line="240" w:before="120" w:after="120"/>
      <w:jc w:val="center"/>
      <w:outlineLvl w:val="2"/>
    </w:pPr>
    <w:rPr>
      <w:rFonts w:ascii="Times New Roman" w:hAnsi="Times New Roman" w:eastAsia="Times New Roman" w:cs="Arial"/>
      <w:b/>
      <w:bCs/>
      <w:sz w:val="24"/>
      <w:szCs w:val="26"/>
      <w:lang w:eastAsia="ar-SA"/>
    </w:rPr>
  </w:style>
  <w:style w:type="paragraph" w:styleId="4">
    <w:name w:val="Heading 4"/>
    <w:basedOn w:val="Normal"/>
    <w:next w:val="Normal"/>
    <w:link w:val="40"/>
    <w:unhideWhenUsed/>
    <w:qFormat/>
    <w:pPr>
      <w:keepNext w:val="true"/>
      <w:keepLines/>
      <w:spacing w:before="40" w:after="0"/>
      <w:outlineLvl w:val="3"/>
    </w:pPr>
    <w:rPr>
      <w:rFonts w:ascii="Cambria" w:hAnsi="Cambria" w:eastAsia="Arial" w:cs="Arial" w:asciiTheme="majorHAnsi" w:cstheme="majorBidi" w:eastAsiaTheme="majorEastAsia" w:hAnsiTheme="majorHAnsi"/>
      <w:i/>
      <w:iCs/>
      <w:color w:val="365F91" w:themeColor="accent1" w:themeShade="bf"/>
    </w:rPr>
  </w:style>
  <w:style w:type="paragraph" w:styleId="5">
    <w:name w:val="Heading 5"/>
    <w:basedOn w:val="Normal"/>
    <w:next w:val="Normal"/>
    <w:link w:val="50"/>
    <w:qFormat/>
    <w:pPr>
      <w:tabs>
        <w:tab w:val="clear" w:pos="709"/>
        <w:tab w:val="left" w:pos="1080" w:leader="none"/>
      </w:tabs>
      <w:spacing w:lineRule="auto" w:line="240" w:before="240" w:after="60"/>
      <w:outlineLvl w:val="4"/>
    </w:pPr>
    <w:rPr>
      <w:rFonts w:ascii="Times New Roman" w:hAnsi="Times New Roman" w:eastAsia="MS Mincho" w:cs="Times New Roman"/>
      <w:b/>
      <w:bCs/>
      <w:i/>
      <w:iCs/>
      <w:sz w:val="26"/>
      <w:szCs w:val="26"/>
      <w:lang w:eastAsia="ja-JP"/>
    </w:rPr>
  </w:style>
  <w:style w:type="paragraph" w:styleId="6">
    <w:name w:val="Heading 6"/>
    <w:basedOn w:val="Normal"/>
    <w:next w:val="Normal"/>
    <w:link w:val="60"/>
    <w:unhideWhenUsed/>
    <w:qFormat/>
    <w:pPr>
      <w:keepNext w:val="true"/>
      <w:keepLines/>
      <w:spacing w:before="200" w:after="0"/>
      <w:outlineLvl w:val="5"/>
    </w:pPr>
    <w:rPr>
      <w:rFonts w:ascii="Cambria" w:hAnsi="Cambria" w:eastAsia="Arial" w:cs="Arial" w:asciiTheme="majorHAnsi" w:cstheme="majorBidi" w:eastAsiaTheme="majorEastAsia" w:hAnsiTheme="majorHAnsi"/>
      <w:i/>
      <w:iCs/>
      <w:color w:val="243F60" w:themeColor="accent1" w:themeShade="7f"/>
    </w:rPr>
  </w:style>
  <w:style w:type="paragraph" w:styleId="7">
    <w:name w:val="Heading 7"/>
    <w:basedOn w:val="6"/>
    <w:next w:val="Normal"/>
    <w:link w:val="70"/>
    <w:qFormat/>
    <w:pPr>
      <w:keepNext w:val="false"/>
      <w:keepLines w:val="false"/>
      <w:tabs>
        <w:tab w:val="clear" w:pos="709"/>
        <w:tab w:val="left" w:pos="1440" w:leader="none"/>
      </w:tabs>
      <w:spacing w:lineRule="auto" w:line="240" w:before="240" w:after="60"/>
      <w:outlineLvl w:val="6"/>
    </w:pPr>
    <w:rPr>
      <w:rFonts w:ascii="Times New Roman" w:hAnsi="Times New Roman" w:eastAsia="MS Mincho" w:cs="Times New Roman"/>
      <w:b/>
      <w:bCs/>
      <w:i w:val="false"/>
      <w:iCs w:val="false"/>
      <w:color w:val="auto"/>
      <w:lang w:eastAsia="ja-JP"/>
    </w:rPr>
  </w:style>
  <w:style w:type="paragraph" w:styleId="8">
    <w:name w:val="Heading 8"/>
    <w:basedOn w:val="6"/>
    <w:next w:val="Normal"/>
    <w:link w:val="80"/>
    <w:qFormat/>
    <w:pPr>
      <w:keepNext w:val="false"/>
      <w:keepLines w:val="false"/>
      <w:tabs>
        <w:tab w:val="clear" w:pos="709"/>
        <w:tab w:val="left" w:pos="1800" w:leader="none"/>
      </w:tabs>
      <w:spacing w:lineRule="auto" w:line="240" w:before="240" w:after="60"/>
      <w:outlineLvl w:val="7"/>
    </w:pPr>
    <w:rPr>
      <w:rFonts w:ascii="Times New Roman" w:hAnsi="Times New Roman" w:eastAsia="MS Mincho" w:cs="Times New Roman"/>
      <w:b/>
      <w:bCs/>
      <w:i w:val="false"/>
      <w:iCs w:val="false"/>
      <w:color w:val="auto"/>
      <w:lang w:eastAsia="ja-JP"/>
    </w:rPr>
  </w:style>
  <w:style w:type="paragraph" w:styleId="9">
    <w:name w:val="Heading 9"/>
    <w:basedOn w:val="6"/>
    <w:next w:val="Normal"/>
    <w:link w:val="90"/>
    <w:qFormat/>
    <w:pPr>
      <w:keepNext w:val="false"/>
      <w:keepLines w:val="false"/>
      <w:tabs>
        <w:tab w:val="clear" w:pos="709"/>
        <w:tab w:val="left" w:pos="1800" w:leader="none"/>
      </w:tabs>
      <w:spacing w:lineRule="auto" w:line="240" w:before="240" w:after="60"/>
      <w:outlineLvl w:val="8"/>
    </w:pPr>
    <w:rPr>
      <w:rFonts w:ascii="Times New Roman" w:hAnsi="Times New Roman" w:eastAsia="MS Mincho" w:cs="Times New Roman"/>
      <w:b/>
      <w:bCs/>
      <w:i w:val="false"/>
      <w:iCs w:val="false"/>
      <w:color w:val="auto"/>
      <w:lang w:eastAsia="ja-JP"/>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Pr>
      <w:rFonts w:ascii="Arial" w:hAnsi="Arial" w:eastAsia="Arial" w:cs="Arial"/>
      <w:sz w:val="40"/>
      <w:szCs w:val="40"/>
    </w:rPr>
  </w:style>
  <w:style w:type="character" w:styleId="Heading2Char" w:customStyle="1">
    <w:name w:val="Heading 2 Char"/>
    <w:basedOn w:val="DefaultParagraphFont"/>
    <w:uiPriority w:val="9"/>
    <w:qFormat/>
    <w:rPr>
      <w:rFonts w:ascii="Arial" w:hAnsi="Arial" w:eastAsia="Arial" w:cs="Arial"/>
      <w:sz w:val="34"/>
    </w:rPr>
  </w:style>
  <w:style w:type="character" w:styleId="Heading3Char" w:customStyle="1">
    <w:name w:val="Heading 3 Char"/>
    <w:basedOn w:val="DefaultParagraphFont"/>
    <w:uiPriority w:val="9"/>
    <w:qFormat/>
    <w:rPr>
      <w:rFonts w:ascii="Arial" w:hAnsi="Arial" w:eastAsia="Arial" w:cs="Arial"/>
      <w:sz w:val="30"/>
      <w:szCs w:val="30"/>
    </w:rPr>
  </w:style>
  <w:style w:type="character" w:styleId="Heading4Char" w:customStyle="1">
    <w:name w:val="Heading 4 Char"/>
    <w:basedOn w:val="DefaultParagraphFont"/>
    <w:uiPriority w:val="9"/>
    <w:qFormat/>
    <w:rPr>
      <w:rFonts w:ascii="Arial" w:hAnsi="Arial" w:eastAsia="Arial" w:cs="Arial"/>
      <w:b/>
      <w:bCs/>
      <w:sz w:val="26"/>
      <w:szCs w:val="26"/>
    </w:rPr>
  </w:style>
  <w:style w:type="character" w:styleId="Heading5Char" w:customStyle="1">
    <w:name w:val="Heading 5 Char"/>
    <w:basedOn w:val="DefaultParagraphFont"/>
    <w:uiPriority w:val="9"/>
    <w:qFormat/>
    <w:rPr>
      <w:rFonts w:ascii="Arial" w:hAnsi="Arial" w:eastAsia="Arial" w:cs="Arial"/>
      <w:b/>
      <w:bCs/>
      <w:sz w:val="24"/>
      <w:szCs w:val="24"/>
    </w:rPr>
  </w:style>
  <w:style w:type="character" w:styleId="Heading6Char" w:customStyle="1">
    <w:name w:val="Heading 6 Char"/>
    <w:basedOn w:val="DefaultParagraphFont"/>
    <w:uiPriority w:val="9"/>
    <w:qFormat/>
    <w:rPr>
      <w:rFonts w:ascii="Arial" w:hAnsi="Arial" w:eastAsia="Arial" w:cs="Arial"/>
      <w:b/>
      <w:bCs/>
      <w:sz w:val="22"/>
      <w:szCs w:val="22"/>
    </w:rPr>
  </w:style>
  <w:style w:type="character" w:styleId="Heading7Char" w:customStyle="1">
    <w:name w:val="Heading 7 Char"/>
    <w:basedOn w:val="DefaultParagraphFont"/>
    <w:uiPriority w:val="9"/>
    <w:qFormat/>
    <w:rPr>
      <w:rFonts w:ascii="Arial" w:hAnsi="Arial" w:eastAsia="Arial" w:cs="Arial"/>
      <w:b/>
      <w:bCs/>
      <w:i/>
      <w:iCs/>
      <w:sz w:val="22"/>
      <w:szCs w:val="22"/>
    </w:rPr>
  </w:style>
  <w:style w:type="character" w:styleId="Heading8Char" w:customStyle="1">
    <w:name w:val="Heading 8 Char"/>
    <w:basedOn w:val="DefaultParagraphFont"/>
    <w:uiPriority w:val="9"/>
    <w:qFormat/>
    <w:rPr>
      <w:rFonts w:ascii="Arial" w:hAnsi="Arial" w:eastAsia="Arial" w:cs="Arial"/>
      <w:i/>
      <w:iCs/>
      <w:sz w:val="22"/>
      <w:szCs w:val="22"/>
    </w:rPr>
  </w:style>
  <w:style w:type="character" w:styleId="Heading9Char" w:customStyle="1">
    <w:name w:val="Heading 9 Char"/>
    <w:basedOn w:val="DefaultParagraphFont"/>
    <w:uiPriority w:val="9"/>
    <w:qFormat/>
    <w:rPr>
      <w:rFonts w:ascii="Arial" w:hAnsi="Arial" w:eastAsia="Arial" w:cs="Arial"/>
      <w:i/>
      <w:iCs/>
      <w:sz w:val="21"/>
      <w:szCs w:val="21"/>
    </w:rPr>
  </w:style>
  <w:style w:type="character" w:styleId="Style5" w:customStyle="1">
    <w:name w:val="Заголовок Знак"/>
    <w:basedOn w:val="DefaultParagraphFont"/>
    <w:link w:val="a3"/>
    <w:uiPriority w:val="10"/>
    <w:qFormat/>
    <w:rPr>
      <w:sz w:val="48"/>
      <w:szCs w:val="48"/>
    </w:rPr>
  </w:style>
  <w:style w:type="character" w:styleId="Style6" w:customStyle="1">
    <w:name w:val="Подзаголовок Знак"/>
    <w:basedOn w:val="DefaultParagraphFont"/>
    <w:link w:val="a8"/>
    <w:uiPriority w:val="11"/>
    <w:qFormat/>
    <w:rPr>
      <w:sz w:val="24"/>
      <w:szCs w:val="24"/>
    </w:rPr>
  </w:style>
  <w:style w:type="character" w:styleId="21" w:customStyle="1">
    <w:name w:val="Цитата 2 Знак"/>
    <w:link w:val="21"/>
    <w:uiPriority w:val="29"/>
    <w:qFormat/>
    <w:rPr>
      <w:i/>
    </w:rPr>
  </w:style>
  <w:style w:type="character" w:styleId="Style7" w:customStyle="1">
    <w:name w:val="Выделенная цитата Знак"/>
    <w:link w:val="aa"/>
    <w:uiPriority w:val="30"/>
    <w:qFormat/>
    <w:rPr>
      <w:i/>
    </w:rPr>
  </w:style>
  <w:style w:type="character" w:styleId="HeaderChar" w:customStyle="1">
    <w:name w:val="Header Char"/>
    <w:basedOn w:val="DefaultParagraphFont"/>
    <w:uiPriority w:val="99"/>
    <w:qFormat/>
    <w:rPr/>
  </w:style>
  <w:style w:type="character" w:styleId="FooterChar" w:customStyle="1">
    <w:name w:val="Footer Char"/>
    <w:basedOn w:val="DefaultParagraphFont"/>
    <w:uiPriority w:val="99"/>
    <w:qFormat/>
    <w:rPr/>
  </w:style>
  <w:style w:type="character" w:styleId="CaptionChar" w:customStyle="1">
    <w:name w:val="Caption Char"/>
    <w:uiPriority w:val="99"/>
    <w:qFormat/>
    <w:rPr/>
  </w:style>
  <w:style w:type="character" w:styleId="FootnoteTextChar" w:customStyle="1">
    <w:name w:val="Footnote Text Char"/>
    <w:uiPriority w:val="99"/>
    <w:qFormat/>
    <w:rPr>
      <w:sz w:val="18"/>
    </w:rPr>
  </w:style>
  <w:style w:type="character" w:styleId="Style8" w:customStyle="1">
    <w:name w:val="Текст концевой сноски Знак"/>
    <w:link w:val="ac"/>
    <w:uiPriority w:val="99"/>
    <w:qFormat/>
    <w:rPr>
      <w:sz w:val="20"/>
    </w:rPr>
  </w:style>
  <w:style w:type="character" w:styleId="Style9">
    <w:name w:val="Привязка концевой сноски"/>
    <w:rPr>
      <w:vertAlign w:val="superscript"/>
    </w:rPr>
  </w:style>
  <w:style w:type="character" w:styleId="EndnoteCharacters">
    <w:name w:val="Endnote Characters"/>
    <w:basedOn w:val="DefaultParagraphFont"/>
    <w:uiPriority w:val="99"/>
    <w:semiHidden/>
    <w:unhideWhenUsed/>
    <w:qFormat/>
    <w:rPr>
      <w:vertAlign w:val="superscript"/>
    </w:rPr>
  </w:style>
  <w:style w:type="character" w:styleId="11" w:customStyle="1">
    <w:name w:val="Заголовок 1 Знак"/>
    <w:basedOn w:val="DefaultParagraphFont"/>
    <w:link w:val="1"/>
    <w:qFormat/>
    <w:rPr>
      <w:rFonts w:ascii="Times New Roman" w:hAnsi="Times New Roman" w:eastAsia="Times New Roman" w:cs="Arial"/>
      <w:b/>
      <w:bCs/>
      <w:sz w:val="24"/>
      <w:szCs w:val="32"/>
      <w:lang w:eastAsia="ar-SA"/>
    </w:rPr>
  </w:style>
  <w:style w:type="character" w:styleId="22" w:customStyle="1">
    <w:name w:val="Заголовок 2 Знак"/>
    <w:basedOn w:val="DefaultParagraphFont"/>
    <w:link w:val="2"/>
    <w:qFormat/>
    <w:rPr>
      <w:rFonts w:ascii="Times New Roman" w:hAnsi="Times New Roman" w:eastAsia="Times New Roman" w:cs="Arial"/>
      <w:b/>
      <w:bCs/>
      <w:iCs/>
      <w:sz w:val="24"/>
      <w:szCs w:val="28"/>
      <w:lang w:eastAsia="ar-SA"/>
    </w:rPr>
  </w:style>
  <w:style w:type="character" w:styleId="31" w:customStyle="1">
    <w:name w:val="Заголовок 3 Знак"/>
    <w:basedOn w:val="DefaultParagraphFont"/>
    <w:link w:val="3"/>
    <w:qFormat/>
    <w:rPr>
      <w:rFonts w:ascii="Times New Roman" w:hAnsi="Times New Roman" w:eastAsia="Times New Roman" w:cs="Arial"/>
      <w:b/>
      <w:bCs/>
      <w:sz w:val="24"/>
      <w:szCs w:val="26"/>
      <w:lang w:eastAsia="ar-SA"/>
    </w:rPr>
  </w:style>
  <w:style w:type="character" w:styleId="41" w:customStyle="1">
    <w:name w:val="Заголовок 4 Знак"/>
    <w:basedOn w:val="DefaultParagraphFont"/>
    <w:link w:val="4"/>
    <w:uiPriority w:val="9"/>
    <w:semiHidden/>
    <w:qFormat/>
    <w:rPr>
      <w:rFonts w:ascii="Cambria" w:hAnsi="Cambria" w:eastAsia="Arial" w:cs="Arial" w:asciiTheme="majorHAnsi" w:cstheme="majorBidi" w:eastAsiaTheme="majorEastAsia" w:hAnsiTheme="majorHAnsi"/>
      <w:i/>
      <w:iCs/>
      <w:color w:val="365F91" w:themeColor="accent1" w:themeShade="bf"/>
    </w:rPr>
  </w:style>
  <w:style w:type="character" w:styleId="51" w:customStyle="1">
    <w:name w:val="Заголовок 5 Знак"/>
    <w:basedOn w:val="DefaultParagraphFont"/>
    <w:link w:val="5"/>
    <w:qFormat/>
    <w:rPr>
      <w:rFonts w:ascii="Times New Roman" w:hAnsi="Times New Roman" w:eastAsia="MS Mincho" w:cs="Times New Roman"/>
      <w:b/>
      <w:bCs/>
      <w:i/>
      <w:iCs/>
      <w:sz w:val="26"/>
      <w:szCs w:val="26"/>
      <w:lang w:eastAsia="ja-JP"/>
    </w:rPr>
  </w:style>
  <w:style w:type="character" w:styleId="61" w:customStyle="1">
    <w:name w:val="Заголовок 6 Знак"/>
    <w:basedOn w:val="DefaultParagraphFont"/>
    <w:link w:val="6"/>
    <w:uiPriority w:val="9"/>
    <w:semiHidden/>
    <w:qFormat/>
    <w:rPr>
      <w:rFonts w:ascii="Cambria" w:hAnsi="Cambria" w:eastAsia="Arial" w:cs="Arial" w:asciiTheme="majorHAnsi" w:cstheme="majorBidi" w:eastAsiaTheme="majorEastAsia" w:hAnsiTheme="majorHAnsi"/>
      <w:i/>
      <w:iCs/>
      <w:color w:val="243F60" w:themeColor="accent1" w:themeShade="7f"/>
    </w:rPr>
  </w:style>
  <w:style w:type="character" w:styleId="71" w:customStyle="1">
    <w:name w:val="Заголовок 7 Знак"/>
    <w:basedOn w:val="DefaultParagraphFont"/>
    <w:link w:val="7"/>
    <w:qFormat/>
    <w:rPr>
      <w:rFonts w:ascii="Times New Roman" w:hAnsi="Times New Roman" w:eastAsia="MS Mincho" w:cs="Times New Roman"/>
      <w:b/>
      <w:bCs/>
      <w:lang w:eastAsia="ja-JP"/>
    </w:rPr>
  </w:style>
  <w:style w:type="character" w:styleId="81" w:customStyle="1">
    <w:name w:val="Заголовок 8 Знак"/>
    <w:basedOn w:val="DefaultParagraphFont"/>
    <w:link w:val="8"/>
    <w:qFormat/>
    <w:rPr>
      <w:rFonts w:ascii="Times New Roman" w:hAnsi="Times New Roman" w:eastAsia="MS Mincho" w:cs="Times New Roman"/>
      <w:b/>
      <w:bCs/>
      <w:lang w:eastAsia="ja-JP"/>
    </w:rPr>
  </w:style>
  <w:style w:type="character" w:styleId="91" w:customStyle="1">
    <w:name w:val="Заголовок 9 Знак"/>
    <w:basedOn w:val="DefaultParagraphFont"/>
    <w:link w:val="9"/>
    <w:qFormat/>
    <w:rPr>
      <w:rFonts w:ascii="Times New Roman" w:hAnsi="Times New Roman" w:eastAsia="MS Mincho" w:cs="Times New Roman"/>
      <w:b/>
      <w:bCs/>
      <w:lang w:eastAsia="ja-JP"/>
    </w:rPr>
  </w:style>
  <w:style w:type="character" w:styleId="Style10" w:customStyle="1">
    <w:name w:val="Текст выноски Знак"/>
    <w:basedOn w:val="DefaultParagraphFont"/>
    <w:link w:val="af1"/>
    <w:qFormat/>
    <w:rPr>
      <w:rFonts w:ascii="Tahoma" w:hAnsi="Tahoma" w:cs="Tahoma"/>
      <w:sz w:val="16"/>
      <w:szCs w:val="16"/>
    </w:rPr>
  </w:style>
  <w:style w:type="character" w:styleId="Style11" w:customStyle="1">
    <w:name w:val="Верхний колонтитул Знак"/>
    <w:basedOn w:val="DefaultParagraphFont"/>
    <w:link w:val="af3"/>
    <w:uiPriority w:val="99"/>
    <w:qFormat/>
    <w:rPr/>
  </w:style>
  <w:style w:type="character" w:styleId="Style12" w:customStyle="1">
    <w:name w:val="Нижний колонтитул Знак"/>
    <w:basedOn w:val="DefaultParagraphFont"/>
    <w:link w:val="af5"/>
    <w:qFormat/>
    <w:rPr/>
  </w:style>
  <w:style w:type="character" w:styleId="FontStyle97" w:customStyle="1">
    <w:name w:val="Font Style97"/>
    <w:basedOn w:val="DefaultParagraphFont"/>
    <w:uiPriority w:val="99"/>
    <w:qFormat/>
    <w:rPr>
      <w:rFonts w:ascii="Times New Roman" w:hAnsi="Times New Roman" w:cs="Times New Roman"/>
      <w:sz w:val="18"/>
      <w:szCs w:val="18"/>
    </w:rPr>
  </w:style>
  <w:style w:type="character" w:styleId="Style13">
    <w:name w:val="Интернет-ссылка"/>
    <w:basedOn w:val="DefaultParagraphFont"/>
    <w:uiPriority w:val="99"/>
    <w:unhideWhenUsed/>
    <w:rPr>
      <w:rFonts w:ascii="Verdana" w:hAnsi="Verdana"/>
      <w:color w:val="003399"/>
      <w:sz w:val="17"/>
      <w:szCs w:val="17"/>
      <w:u w:val="single"/>
    </w:rPr>
  </w:style>
  <w:style w:type="character" w:styleId="23" w:customStyle="1">
    <w:name w:val="Основной текст (2)_"/>
    <w:basedOn w:val="DefaultParagraphFont"/>
    <w:link w:val="26"/>
    <w:qFormat/>
    <w:rPr>
      <w:rFonts w:ascii="Arial" w:hAnsi="Arial" w:cs="Arial"/>
      <w:sz w:val="28"/>
      <w:szCs w:val="28"/>
      <w:shd w:fill="FFFFFF" w:val="clear"/>
    </w:rPr>
  </w:style>
  <w:style w:type="character" w:styleId="24" w:customStyle="1">
    <w:name w:val="Основной текст (2) + Малые прописные"/>
    <w:basedOn w:val="23"/>
    <w:uiPriority w:val="99"/>
    <w:qFormat/>
    <w:rPr>
      <w:rFonts w:ascii="Arial" w:hAnsi="Arial" w:cs="Arial"/>
      <w:smallCaps/>
      <w:sz w:val="28"/>
      <w:szCs w:val="28"/>
      <w:shd w:fill="FFFFFF" w:val="clear"/>
      <w:lang w:val="en-US" w:eastAsia="en-US"/>
    </w:rPr>
  </w:style>
  <w:style w:type="character" w:styleId="216pt" w:customStyle="1">
    <w:name w:val="Основной текст (2) + 16 pt"/>
    <w:basedOn w:val="23"/>
    <w:uiPriority w:val="99"/>
    <w:qFormat/>
    <w:rPr>
      <w:rFonts w:ascii="Arial" w:hAnsi="Arial" w:cs="Arial"/>
      <w:i/>
      <w:iCs/>
      <w:spacing w:val="60"/>
      <w:sz w:val="32"/>
      <w:szCs w:val="32"/>
      <w:shd w:fill="FFFFFF" w:val="clear"/>
    </w:rPr>
  </w:style>
  <w:style w:type="character" w:styleId="29pt" w:customStyle="1">
    <w:name w:val="Основной текст (2) + 9 pt"/>
    <w:basedOn w:val="23"/>
    <w:uiPriority w:val="99"/>
    <w:qFormat/>
    <w:rPr>
      <w:rFonts w:ascii="Arial" w:hAnsi="Arial" w:cs="Arial"/>
      <w:sz w:val="18"/>
      <w:szCs w:val="18"/>
      <w:shd w:fill="FFFFFF" w:val="clear"/>
    </w:rPr>
  </w:style>
  <w:style w:type="character" w:styleId="29" w:customStyle="1">
    <w:name w:val="Основной текст (2) + 9"/>
    <w:basedOn w:val="23"/>
    <w:uiPriority w:val="99"/>
    <w:qFormat/>
    <w:rPr>
      <w:rFonts w:ascii="Arial" w:hAnsi="Arial" w:cs="Arial"/>
      <w:i/>
      <w:iCs/>
      <w:spacing w:val="20"/>
      <w:sz w:val="19"/>
      <w:szCs w:val="19"/>
      <w:shd w:fill="FFFFFF" w:val="clear"/>
      <w:lang w:val="en-US" w:eastAsia="en-US"/>
    </w:rPr>
  </w:style>
  <w:style w:type="character" w:styleId="211pt" w:customStyle="1">
    <w:name w:val="Основной текст (2) + 11 pt"/>
    <w:basedOn w:val="23"/>
    <w:uiPriority w:val="99"/>
    <w:qFormat/>
    <w:rPr>
      <w:rFonts w:ascii="Arial" w:hAnsi="Arial" w:cs="Arial"/>
      <w:sz w:val="22"/>
      <w:szCs w:val="22"/>
      <w:shd w:fill="FFFFFF" w:val="clear"/>
    </w:rPr>
  </w:style>
  <w:style w:type="character" w:styleId="Style14" w:customStyle="1">
    <w:name w:val="Без интервала Знак"/>
    <w:link w:val="af9"/>
    <w:uiPriority w:val="99"/>
    <w:qFormat/>
    <w:rPr>
      <w:rFonts w:eastAsia="Arial" w:eastAsiaTheme="minorEastAsia"/>
      <w:lang w:eastAsia="ru-RU"/>
    </w:rPr>
  </w:style>
  <w:style w:type="character" w:styleId="Annotationreference">
    <w:name w:val="annotation reference"/>
    <w:basedOn w:val="DefaultParagraphFont"/>
    <w:unhideWhenUsed/>
    <w:qFormat/>
    <w:rPr>
      <w:sz w:val="16"/>
      <w:szCs w:val="16"/>
    </w:rPr>
  </w:style>
  <w:style w:type="character" w:styleId="Style15" w:customStyle="1">
    <w:name w:val="Текст примечания Знак"/>
    <w:basedOn w:val="DefaultParagraphFont"/>
    <w:link w:val="afc"/>
    <w:qFormat/>
    <w:rPr>
      <w:sz w:val="20"/>
      <w:szCs w:val="20"/>
    </w:rPr>
  </w:style>
  <w:style w:type="character" w:styleId="PlaceholderText">
    <w:name w:val="Placeholder Text"/>
    <w:basedOn w:val="DefaultParagraphFont"/>
    <w:uiPriority w:val="99"/>
    <w:semiHidden/>
    <w:qFormat/>
    <w:rPr>
      <w:color w:val="808080"/>
    </w:rPr>
  </w:style>
  <w:style w:type="character" w:styleId="Style16" w:customStyle="1">
    <w:name w:val="Тема примечания Знак"/>
    <w:basedOn w:val="Style15"/>
    <w:link w:val="aff"/>
    <w:qFormat/>
    <w:rPr>
      <w:b/>
      <w:bCs/>
      <w:sz w:val="20"/>
      <w:szCs w:val="20"/>
    </w:rPr>
  </w:style>
  <w:style w:type="character" w:styleId="Appleconvertedspace" w:customStyle="1">
    <w:name w:val="apple-converted-space"/>
    <w:basedOn w:val="DefaultParagraphFont"/>
    <w:qFormat/>
    <w:rPr/>
  </w:style>
  <w:style w:type="character" w:styleId="Style17" w:customStyle="1">
    <w:name w:val="Текст сноски Знак"/>
    <w:basedOn w:val="DefaultParagraphFont"/>
    <w:link w:val="aff1"/>
    <w:qFormat/>
    <w:rPr>
      <w:sz w:val="20"/>
      <w:szCs w:val="20"/>
    </w:rPr>
  </w:style>
  <w:style w:type="character" w:styleId="Style18">
    <w:name w:val="Привязка сноски"/>
    <w:rPr>
      <w:vertAlign w:val="superscript"/>
    </w:rPr>
  </w:style>
  <w:style w:type="character" w:styleId="FootnoteCharacters">
    <w:name w:val="Footnote Characters"/>
    <w:basedOn w:val="DefaultParagraphFont"/>
    <w:unhideWhenUsed/>
    <w:qFormat/>
    <w:rPr>
      <w:vertAlign w:val="superscript"/>
    </w:rPr>
  </w:style>
  <w:style w:type="character" w:styleId="2TimesNewRoman" w:customStyle="1">
    <w:name w:val="Основной текст (2) + Times New Roman;Полужирный"/>
    <w:qFormat/>
    <w:rPr>
      <w:rFonts w:ascii="Times New Roman" w:hAnsi="Times New Roman" w:eastAsia="Times New Roman" w:cs="Times New Roman"/>
      <w:i w:val="false"/>
      <w:iCs w:val="false"/>
      <w:caps w:val="false"/>
      <w:smallCaps w:val="false"/>
      <w:color w:val="231F20"/>
      <w:spacing w:val="0"/>
      <w:sz w:val="20"/>
      <w:szCs w:val="20"/>
      <w:shd w:fill="FFFFFF" w:val="clear"/>
      <w:lang w:val="en-US" w:eastAsia="en-US" w:bidi="en-US"/>
    </w:rPr>
  </w:style>
  <w:style w:type="character" w:styleId="2TimesNewRoman1" w:customStyle="1">
    <w:name w:val="Основной текст (2) + Times New Roman"/>
    <w:qFormat/>
    <w:rPr>
      <w:rFonts w:ascii="Times New Roman" w:hAnsi="Times New Roman" w:eastAsia="Times New Roman" w:cs="Times New Roman"/>
      <w:i w:val="false"/>
      <w:iCs w:val="false"/>
      <w:caps w:val="false"/>
      <w:smallCaps w:val="false"/>
      <w:color w:val="231F20"/>
      <w:spacing w:val="0"/>
      <w:sz w:val="20"/>
      <w:szCs w:val="20"/>
      <w:shd w:fill="FFFFFF" w:val="clear"/>
      <w:lang w:val="en-US" w:eastAsia="en-US" w:bidi="en-US"/>
    </w:rPr>
  </w:style>
  <w:style w:type="character" w:styleId="2TimesNewRoman75pt" w:customStyle="1">
    <w:name w:val="Основной текст (2) + Times New Roman;7;5 pt"/>
    <w:qFormat/>
    <w:rPr>
      <w:rFonts w:ascii="Times New Roman" w:hAnsi="Times New Roman" w:eastAsia="Times New Roman" w:cs="Times New Roman"/>
      <w:i w:val="false"/>
      <w:iCs w:val="false"/>
      <w:caps w:val="false"/>
      <w:smallCaps w:val="false"/>
      <w:color w:val="231F20"/>
      <w:spacing w:val="0"/>
      <w:sz w:val="15"/>
      <w:szCs w:val="15"/>
      <w:shd w:fill="FFFFFF" w:val="clear"/>
      <w:lang w:val="en-US" w:eastAsia="en-US" w:bidi="en-US"/>
    </w:rPr>
  </w:style>
  <w:style w:type="character" w:styleId="2TimesNewRoman2" w:customStyle="1">
    <w:name w:val="Основной текст (2) + Times New Roman;Курсив"/>
    <w:qFormat/>
    <w:rPr>
      <w:rFonts w:ascii="Times New Roman" w:hAnsi="Times New Roman" w:eastAsia="Times New Roman" w:cs="Times New Roman"/>
      <w:i/>
      <w:iCs/>
      <w:caps w:val="false"/>
      <w:smallCaps w:val="false"/>
      <w:color w:val="231F20"/>
      <w:spacing w:val="0"/>
      <w:sz w:val="20"/>
      <w:szCs w:val="20"/>
      <w:shd w:fill="FFFFFF" w:val="clear"/>
      <w:lang w:val="en-US" w:eastAsia="en-US" w:bidi="en-US"/>
    </w:rPr>
  </w:style>
  <w:style w:type="character" w:styleId="265pt" w:customStyle="1">
    <w:name w:val="Основной текст (2) + 6;5 pt"/>
    <w:qFormat/>
    <w:rPr>
      <w:rFonts w:ascii="Arial" w:hAnsi="Arial" w:eastAsia="Arial" w:cs="Arial"/>
      <w:i w:val="false"/>
      <w:iCs w:val="false"/>
      <w:caps w:val="false"/>
      <w:smallCaps w:val="false"/>
      <w:color w:val="231F20"/>
      <w:spacing w:val="0"/>
      <w:sz w:val="13"/>
      <w:szCs w:val="13"/>
      <w:shd w:fill="FFFFFF" w:val="clear"/>
      <w:lang w:val="en-US" w:eastAsia="en-US" w:bidi="en-US"/>
    </w:rPr>
  </w:style>
  <w:style w:type="character" w:styleId="TableFootNoteXref" w:customStyle="1">
    <w:name w:val="TableFootNoteXref"/>
    <w:qFormat/>
    <w:rPr>
      <w:sz w:val="14"/>
      <w:lang w:val="fr-FR"/>
    </w:rPr>
  </w:style>
  <w:style w:type="character" w:styleId="Pagenumber">
    <w:name w:val="page number"/>
    <w:qFormat/>
    <w:rPr>
      <w:rFonts w:cs="Times New Roman"/>
    </w:rPr>
  </w:style>
  <w:style w:type="character" w:styleId="Style19" w:customStyle="1">
    <w:name w:val="Основной текст Знак"/>
    <w:basedOn w:val="DefaultParagraphFont"/>
    <w:link w:val="aff8"/>
    <w:uiPriority w:val="99"/>
    <w:qFormat/>
    <w:rPr>
      <w:rFonts w:ascii="Cambria" w:hAnsi="Cambria" w:eastAsia="Calibri" w:cs="Times New Roman"/>
    </w:rPr>
  </w:style>
  <w:style w:type="character" w:styleId="StddocNumber" w:customStyle="1">
    <w:name w:val="std_docNumber"/>
    <w:qFormat/>
    <w:rPr>
      <w:rFonts w:ascii="Cambria" w:hAnsi="Cambria"/>
      <w:sz w:val="22"/>
      <w:shd w:fill="F2DBDB" w:val="clear"/>
    </w:rPr>
  </w:style>
  <w:style w:type="character" w:styleId="Stdpublisher" w:customStyle="1">
    <w:name w:val="std_publisher"/>
    <w:qFormat/>
    <w:rPr>
      <w:rFonts w:ascii="Cambria" w:hAnsi="Cambria"/>
      <w:sz w:val="22"/>
      <w:shd w:fill="C6D9F1" w:val="clear"/>
    </w:rPr>
  </w:style>
  <w:style w:type="character" w:styleId="Stdyear" w:customStyle="1">
    <w:name w:val="std_year"/>
    <w:qFormat/>
    <w:rPr>
      <w:rFonts w:ascii="Cambria" w:hAnsi="Cambria"/>
      <w:sz w:val="22"/>
      <w:shd w:fill="DAEEF3" w:val="clear"/>
    </w:rPr>
  </w:style>
  <w:style w:type="character" w:styleId="FollowedHyperlink">
    <w:name w:val="FollowedHyperlink"/>
    <w:qFormat/>
    <w:rPr>
      <w:color w:val="954F72"/>
      <w:u w:val="single"/>
    </w:rPr>
  </w:style>
  <w:style w:type="character" w:styleId="ListLabel1">
    <w:name w:val="ListLabel 1"/>
    <w:qFormat/>
    <w:rPr>
      <w:rFonts w:ascii="Arial" w:hAnsi="Arial" w:cs="Times New Roman"/>
      <w:color w:val="auto"/>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Times New Roman"/>
    </w:rPr>
  </w:style>
  <w:style w:type="character" w:styleId="ListLabel9">
    <w:name w:val="ListLabel 9"/>
    <w:qFormat/>
    <w:rPr>
      <w:rFonts w:eastAsia="Courier New" w:cs="Courier New"/>
    </w:rPr>
  </w:style>
  <w:style w:type="character" w:styleId="ListLabel10">
    <w:name w:val="ListLabel 10"/>
    <w:qFormat/>
    <w:rPr>
      <w:rFonts w:eastAsia="Wingdings" w:cs="Wingdings"/>
    </w:rPr>
  </w:style>
  <w:style w:type="character" w:styleId="ListLabel11">
    <w:name w:val="ListLabel 11"/>
    <w:qFormat/>
    <w:rPr>
      <w:rFonts w:eastAsia="Symbol" w:cs="Symbol"/>
    </w:rPr>
  </w:style>
  <w:style w:type="character" w:styleId="ListLabel12">
    <w:name w:val="ListLabel 12"/>
    <w:qFormat/>
    <w:rPr>
      <w:rFonts w:eastAsia="Courier New" w:cs="Courier New"/>
    </w:rPr>
  </w:style>
  <w:style w:type="character" w:styleId="ListLabel13">
    <w:name w:val="ListLabel 13"/>
    <w:qFormat/>
    <w:rPr>
      <w:rFonts w:eastAsia="Wingdings" w:cs="Wingdings"/>
    </w:rPr>
  </w:style>
  <w:style w:type="character" w:styleId="ListLabel14">
    <w:name w:val="ListLabel 14"/>
    <w:qFormat/>
    <w:rPr>
      <w:rFonts w:eastAsia="Symbol" w:cs="Symbol"/>
    </w:rPr>
  </w:style>
  <w:style w:type="character" w:styleId="ListLabel15">
    <w:name w:val="ListLabel 15"/>
    <w:qFormat/>
    <w:rPr>
      <w:rFonts w:eastAsia="Courier New" w:cs="Courier New"/>
    </w:rPr>
  </w:style>
  <w:style w:type="character" w:styleId="ListLabel16">
    <w:name w:val="ListLabel 16"/>
    <w:qFormat/>
    <w:rPr>
      <w:rFonts w:eastAsia="Wingdings" w:cs="Wingdings"/>
    </w:rPr>
  </w:style>
  <w:style w:type="character" w:styleId="ListLabel17">
    <w:name w:val="ListLabel 17"/>
    <w:qFormat/>
    <w:rPr>
      <w:rFonts w:cs="Times New Roman"/>
      <w:b/>
      <w:i w:val="false"/>
    </w:rPr>
  </w:style>
  <w:style w:type="character" w:styleId="ListLabel18">
    <w:name w:val="ListLabel 18"/>
    <w:qFormat/>
    <w:rPr>
      <w:rFonts w:cs="Times New Roman"/>
      <w:b/>
      <w:i w:val="false"/>
    </w:rPr>
  </w:style>
  <w:style w:type="character" w:styleId="ListLabel19">
    <w:name w:val="ListLabel 19"/>
    <w:qFormat/>
    <w:rPr>
      <w:rFonts w:cs="Times New Roman"/>
      <w:b/>
      <w:i w:val="false"/>
    </w:rPr>
  </w:style>
  <w:style w:type="character" w:styleId="ListLabel20">
    <w:name w:val="ListLabel 20"/>
    <w:qFormat/>
    <w:rPr>
      <w:rFonts w:cs="Times New Roman"/>
      <w:b/>
      <w:i w:val="false"/>
    </w:rPr>
  </w:style>
  <w:style w:type="character" w:styleId="ListLabel21">
    <w:name w:val="ListLabel 21"/>
    <w:qFormat/>
    <w:rPr>
      <w:rFonts w:cs="Times New Roman"/>
      <w:b/>
      <w:i w:val="false"/>
    </w:rPr>
  </w:style>
  <w:style w:type="character" w:styleId="ListLabel22">
    <w:name w:val="ListLabel 22"/>
    <w:qFormat/>
    <w:rPr>
      <w:rFonts w:cs="Times New Roman"/>
      <w:b/>
      <w:i w:val="false"/>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b/>
      <w:i w:val="false"/>
      <w:sz w:val="28"/>
    </w:rPr>
  </w:style>
  <w:style w:type="character" w:styleId="ListLabel27">
    <w:name w:val="ListLabel 27"/>
    <w:qFormat/>
    <w:rPr>
      <w:rFonts w:cs="Times New Roman"/>
      <w:b/>
      <w:i w:val="false"/>
    </w:rPr>
  </w:style>
  <w:style w:type="character" w:styleId="ListLabel28">
    <w:name w:val="ListLabel 28"/>
    <w:qFormat/>
    <w:rPr>
      <w:rFonts w:cs="Times New Roman"/>
      <w:b/>
      <w:i w:val="false"/>
    </w:rPr>
  </w:style>
  <w:style w:type="character" w:styleId="ListLabel29">
    <w:name w:val="ListLabel 29"/>
    <w:qFormat/>
    <w:rPr>
      <w:rFonts w:cs="Times New Roman"/>
      <w:b/>
      <w:i w:val="false"/>
    </w:rPr>
  </w:style>
  <w:style w:type="character" w:styleId="ListLabel30">
    <w:name w:val="ListLabel 30"/>
    <w:qFormat/>
    <w:rPr>
      <w:rFonts w:cs="Times New Roman"/>
      <w:b/>
      <w:i w:val="false"/>
    </w:rPr>
  </w:style>
  <w:style w:type="character" w:styleId="ListLabel31">
    <w:name w:val="ListLabel 31"/>
    <w:qFormat/>
    <w:rPr>
      <w:rFonts w:cs="Times New Roman"/>
      <w:b/>
      <w:i w:val="false"/>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eastAsia="Courier New" w:cs="Courier New"/>
    </w:rPr>
  </w:style>
  <w:style w:type="character" w:styleId="ListLabel36">
    <w:name w:val="ListLabel 36"/>
    <w:qFormat/>
    <w:rPr>
      <w:rFonts w:eastAsia="Wingdings" w:cs="Wingdings"/>
    </w:rPr>
  </w:style>
  <w:style w:type="character" w:styleId="ListLabel37">
    <w:name w:val="ListLabel 37"/>
    <w:qFormat/>
    <w:rPr>
      <w:rFonts w:eastAsia="Symbol" w:cs="Symbol"/>
    </w:rPr>
  </w:style>
  <w:style w:type="character" w:styleId="ListLabel38">
    <w:name w:val="ListLabel 38"/>
    <w:qFormat/>
    <w:rPr>
      <w:rFonts w:eastAsia="Courier New" w:cs="Courier New"/>
    </w:rPr>
  </w:style>
  <w:style w:type="character" w:styleId="ListLabel39">
    <w:name w:val="ListLabel 39"/>
    <w:qFormat/>
    <w:rPr>
      <w:rFonts w:eastAsia="Wingdings" w:cs="Wingdings"/>
    </w:rPr>
  </w:style>
  <w:style w:type="character" w:styleId="ListLabel40">
    <w:name w:val="ListLabel 40"/>
    <w:qFormat/>
    <w:rPr>
      <w:rFonts w:eastAsia="Symbol" w:cs="Symbol"/>
    </w:rPr>
  </w:style>
  <w:style w:type="character" w:styleId="ListLabel41">
    <w:name w:val="ListLabel 41"/>
    <w:qFormat/>
    <w:rPr>
      <w:rFonts w:eastAsia="Courier New" w:cs="Courier New"/>
    </w:rPr>
  </w:style>
  <w:style w:type="character" w:styleId="ListLabel42">
    <w:name w:val="ListLabel 42"/>
    <w:qFormat/>
    <w:rPr>
      <w:rFonts w:eastAsia="Wingdings" w:cs="Wingdings"/>
    </w:rPr>
  </w:style>
  <w:style w:type="character" w:styleId="ListLabel43">
    <w:name w:val="ListLabel 43"/>
    <w:qFormat/>
    <w:rPr>
      <w:rFonts w:eastAsia="Courier New" w:cs="Courier New"/>
    </w:rPr>
  </w:style>
  <w:style w:type="character" w:styleId="ListLabel44">
    <w:name w:val="ListLabel 44"/>
    <w:qFormat/>
    <w:rPr>
      <w:rFonts w:eastAsia="Wingdings" w:cs="Wingdings"/>
    </w:rPr>
  </w:style>
  <w:style w:type="character" w:styleId="ListLabel45">
    <w:name w:val="ListLabel 45"/>
    <w:qFormat/>
    <w:rPr>
      <w:rFonts w:eastAsia="Symbol" w:cs="Symbol"/>
    </w:rPr>
  </w:style>
  <w:style w:type="character" w:styleId="ListLabel46">
    <w:name w:val="ListLabel 46"/>
    <w:qFormat/>
    <w:rPr>
      <w:rFonts w:eastAsia="Courier New" w:cs="Courier New"/>
    </w:rPr>
  </w:style>
  <w:style w:type="character" w:styleId="ListLabel47">
    <w:name w:val="ListLabel 47"/>
    <w:qFormat/>
    <w:rPr>
      <w:rFonts w:eastAsia="Wingdings" w:cs="Wingdings"/>
    </w:rPr>
  </w:style>
  <w:style w:type="character" w:styleId="ListLabel48">
    <w:name w:val="ListLabel 48"/>
    <w:qFormat/>
    <w:rPr>
      <w:rFonts w:eastAsia="Symbol" w:cs="Symbol"/>
    </w:rPr>
  </w:style>
  <w:style w:type="character" w:styleId="ListLabel49">
    <w:name w:val="ListLabel 49"/>
    <w:qFormat/>
    <w:rPr>
      <w:rFonts w:eastAsia="Courier New" w:cs="Courier New"/>
    </w:rPr>
  </w:style>
  <w:style w:type="character" w:styleId="ListLabel50">
    <w:name w:val="ListLabel 50"/>
    <w:qFormat/>
    <w:rPr>
      <w:rFonts w:eastAsia="Wingdings" w:cs="Wingdings"/>
    </w:rPr>
  </w:style>
  <w:style w:type="character" w:styleId="ListLabel51">
    <w:name w:val="ListLabel 51"/>
    <w:qFormat/>
    <w:rPr>
      <w:rFonts w:eastAsia="Courier New" w:cs="Courier New"/>
    </w:rPr>
  </w:style>
  <w:style w:type="character" w:styleId="ListLabel52">
    <w:name w:val="ListLabel 52"/>
    <w:qFormat/>
    <w:rPr>
      <w:rFonts w:eastAsia="Wingdings" w:cs="Wingdings"/>
    </w:rPr>
  </w:style>
  <w:style w:type="character" w:styleId="ListLabel53">
    <w:name w:val="ListLabel 53"/>
    <w:qFormat/>
    <w:rPr>
      <w:rFonts w:eastAsia="Symbol" w:cs="Symbol"/>
    </w:rPr>
  </w:style>
  <w:style w:type="character" w:styleId="ListLabel54">
    <w:name w:val="ListLabel 54"/>
    <w:qFormat/>
    <w:rPr>
      <w:rFonts w:eastAsia="Courier New" w:cs="Courier New"/>
    </w:rPr>
  </w:style>
  <w:style w:type="character" w:styleId="ListLabel55">
    <w:name w:val="ListLabel 55"/>
    <w:qFormat/>
    <w:rPr>
      <w:rFonts w:eastAsia="Wingdings" w:cs="Wingdings"/>
    </w:rPr>
  </w:style>
  <w:style w:type="character" w:styleId="ListLabel56">
    <w:name w:val="ListLabel 56"/>
    <w:qFormat/>
    <w:rPr>
      <w:rFonts w:eastAsia="Symbol" w:cs="Symbol"/>
    </w:rPr>
  </w:style>
  <w:style w:type="character" w:styleId="ListLabel57">
    <w:name w:val="ListLabel 57"/>
    <w:qFormat/>
    <w:rPr>
      <w:rFonts w:eastAsia="Courier New" w:cs="Courier New"/>
    </w:rPr>
  </w:style>
  <w:style w:type="character" w:styleId="ListLabel58">
    <w:name w:val="ListLabel 58"/>
    <w:qFormat/>
    <w:rPr>
      <w:rFonts w:eastAsia="Wingdings" w:cs="Wingdings"/>
    </w:rPr>
  </w:style>
  <w:style w:type="character" w:styleId="ListLabel59">
    <w:name w:val="ListLabel 59"/>
    <w:qFormat/>
    <w:rPr>
      <w:rFonts w:eastAsia="Courier New" w:cs="Courier New"/>
    </w:rPr>
  </w:style>
  <w:style w:type="character" w:styleId="ListLabel60">
    <w:name w:val="ListLabel 60"/>
    <w:qFormat/>
    <w:rPr>
      <w:rFonts w:eastAsia="Wingdings" w:cs="Wingdings"/>
    </w:rPr>
  </w:style>
  <w:style w:type="character" w:styleId="ListLabel61">
    <w:name w:val="ListLabel 61"/>
    <w:qFormat/>
    <w:rPr>
      <w:rFonts w:eastAsia="Symbol" w:cs="Symbol"/>
    </w:rPr>
  </w:style>
  <w:style w:type="character" w:styleId="ListLabel62">
    <w:name w:val="ListLabel 62"/>
    <w:qFormat/>
    <w:rPr>
      <w:rFonts w:eastAsia="Courier New" w:cs="Courier New"/>
    </w:rPr>
  </w:style>
  <w:style w:type="character" w:styleId="ListLabel63">
    <w:name w:val="ListLabel 63"/>
    <w:qFormat/>
    <w:rPr>
      <w:rFonts w:eastAsia="Wingdings" w:cs="Wingdings"/>
    </w:rPr>
  </w:style>
  <w:style w:type="character" w:styleId="ListLabel64">
    <w:name w:val="ListLabel 64"/>
    <w:qFormat/>
    <w:rPr>
      <w:rFonts w:eastAsia="Symbol" w:cs="Symbol"/>
    </w:rPr>
  </w:style>
  <w:style w:type="character" w:styleId="ListLabel65">
    <w:name w:val="ListLabel 65"/>
    <w:qFormat/>
    <w:rPr>
      <w:rFonts w:eastAsia="Courier New" w:cs="Courier New"/>
    </w:rPr>
  </w:style>
  <w:style w:type="character" w:styleId="ListLabel66">
    <w:name w:val="ListLabel 66"/>
    <w:qFormat/>
    <w:rPr>
      <w:rFonts w:eastAsia="Wingdings" w:cs="Wingdings"/>
    </w:rPr>
  </w:style>
  <w:style w:type="character" w:styleId="ListLabel67">
    <w:name w:val="ListLabel 67"/>
    <w:qFormat/>
    <w:rPr>
      <w:rFonts w:eastAsia="Courier New" w:cs="Courier New"/>
    </w:rPr>
  </w:style>
  <w:style w:type="character" w:styleId="ListLabel68">
    <w:name w:val="ListLabel 68"/>
    <w:qFormat/>
    <w:rPr>
      <w:rFonts w:eastAsia="Wingdings" w:cs="Wingdings"/>
    </w:rPr>
  </w:style>
  <w:style w:type="character" w:styleId="ListLabel69">
    <w:name w:val="ListLabel 69"/>
    <w:qFormat/>
    <w:rPr>
      <w:rFonts w:eastAsia="Symbol" w:cs="Symbol"/>
    </w:rPr>
  </w:style>
  <w:style w:type="character" w:styleId="ListLabel70">
    <w:name w:val="ListLabel 70"/>
    <w:qFormat/>
    <w:rPr>
      <w:rFonts w:eastAsia="Courier New" w:cs="Courier New"/>
    </w:rPr>
  </w:style>
  <w:style w:type="character" w:styleId="ListLabel71">
    <w:name w:val="ListLabel 71"/>
    <w:qFormat/>
    <w:rPr>
      <w:rFonts w:eastAsia="Wingdings" w:cs="Wingdings"/>
    </w:rPr>
  </w:style>
  <w:style w:type="character" w:styleId="ListLabel72">
    <w:name w:val="ListLabel 72"/>
    <w:qFormat/>
    <w:rPr>
      <w:rFonts w:eastAsia="Symbol" w:cs="Symbol"/>
    </w:rPr>
  </w:style>
  <w:style w:type="character" w:styleId="ListLabel73">
    <w:name w:val="ListLabel 73"/>
    <w:qFormat/>
    <w:rPr>
      <w:rFonts w:eastAsia="Courier New" w:cs="Courier New"/>
    </w:rPr>
  </w:style>
  <w:style w:type="character" w:styleId="ListLabel74">
    <w:name w:val="ListLabel 74"/>
    <w:qFormat/>
    <w:rPr>
      <w:rFonts w:eastAsia="Wingdings" w:cs="Wingdings"/>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eastAsia="Courier New" w:cs="Courier New"/>
    </w:rPr>
  </w:style>
  <w:style w:type="character" w:styleId="ListLabel86">
    <w:name w:val="ListLabel 86"/>
    <w:qFormat/>
    <w:rPr>
      <w:rFonts w:eastAsia="Wingdings" w:cs="Wingdings"/>
    </w:rPr>
  </w:style>
  <w:style w:type="character" w:styleId="ListLabel87">
    <w:name w:val="ListLabel 87"/>
    <w:qFormat/>
    <w:rPr>
      <w:rFonts w:eastAsia="Symbol" w:cs="Symbol"/>
    </w:rPr>
  </w:style>
  <w:style w:type="character" w:styleId="ListLabel88">
    <w:name w:val="ListLabel 88"/>
    <w:qFormat/>
    <w:rPr>
      <w:rFonts w:eastAsia="Courier New" w:cs="Courier New"/>
    </w:rPr>
  </w:style>
  <w:style w:type="character" w:styleId="ListLabel89">
    <w:name w:val="ListLabel 89"/>
    <w:qFormat/>
    <w:rPr>
      <w:rFonts w:eastAsia="Wingdings" w:cs="Wingdings"/>
    </w:rPr>
  </w:style>
  <w:style w:type="character" w:styleId="ListLabel90">
    <w:name w:val="ListLabel 90"/>
    <w:qFormat/>
    <w:rPr>
      <w:rFonts w:eastAsia="Symbol" w:cs="Symbol"/>
    </w:rPr>
  </w:style>
  <w:style w:type="character" w:styleId="ListLabel91">
    <w:name w:val="ListLabel 91"/>
    <w:qFormat/>
    <w:rPr>
      <w:rFonts w:eastAsia="Courier New" w:cs="Courier New"/>
    </w:rPr>
  </w:style>
  <w:style w:type="character" w:styleId="ListLabel92">
    <w:name w:val="ListLabel 92"/>
    <w:qFormat/>
    <w:rPr>
      <w:rFonts w:eastAsia="Wingdings" w:cs="Wingdings"/>
    </w:rPr>
  </w:style>
  <w:style w:type="character" w:styleId="ListLabel93">
    <w:name w:val="ListLabel 93"/>
    <w:qFormat/>
    <w:rPr>
      <w:rFonts w:cs="Times New Roman"/>
      <w:b/>
      <w:i w:val="false"/>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b/>
      <w:i w:val="false"/>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eastAsia="Courier New" w:cs="Courier New"/>
    </w:rPr>
  </w:style>
  <w:style w:type="character" w:styleId="ListLabel113">
    <w:name w:val="ListLabel 113"/>
    <w:qFormat/>
    <w:rPr>
      <w:rFonts w:eastAsia="Wingdings" w:cs="Wingdings"/>
    </w:rPr>
  </w:style>
  <w:style w:type="character" w:styleId="ListLabel114">
    <w:name w:val="ListLabel 114"/>
    <w:qFormat/>
    <w:rPr>
      <w:rFonts w:eastAsia="Symbol" w:cs="Symbol"/>
    </w:rPr>
  </w:style>
  <w:style w:type="character" w:styleId="ListLabel115">
    <w:name w:val="ListLabel 115"/>
    <w:qFormat/>
    <w:rPr>
      <w:rFonts w:eastAsia="Courier New" w:cs="Courier New"/>
    </w:rPr>
  </w:style>
  <w:style w:type="character" w:styleId="ListLabel116">
    <w:name w:val="ListLabel 116"/>
    <w:qFormat/>
    <w:rPr>
      <w:rFonts w:eastAsia="Wingdings" w:cs="Wingdings"/>
    </w:rPr>
  </w:style>
  <w:style w:type="character" w:styleId="ListLabel117">
    <w:name w:val="ListLabel 117"/>
    <w:qFormat/>
    <w:rPr>
      <w:rFonts w:eastAsia="Symbol" w:cs="Symbol"/>
    </w:rPr>
  </w:style>
  <w:style w:type="character" w:styleId="ListLabel118">
    <w:name w:val="ListLabel 118"/>
    <w:qFormat/>
    <w:rPr>
      <w:rFonts w:eastAsia="Courier New" w:cs="Courier New"/>
    </w:rPr>
  </w:style>
  <w:style w:type="character" w:styleId="ListLabel119">
    <w:name w:val="ListLabel 119"/>
    <w:qFormat/>
    <w:rPr>
      <w:rFonts w:eastAsia="Wingdings" w:cs="Wingdings"/>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eastAsia="Courier New" w:cs="Courier New"/>
    </w:rPr>
  </w:style>
  <w:style w:type="character" w:styleId="ListLabel132">
    <w:name w:val="ListLabel 132"/>
    <w:qFormat/>
    <w:rPr>
      <w:rFonts w:eastAsia="Wingdings" w:cs="Wingdings"/>
    </w:rPr>
  </w:style>
  <w:style w:type="character" w:styleId="ListLabel133">
    <w:name w:val="ListLabel 133"/>
    <w:qFormat/>
    <w:rPr>
      <w:rFonts w:eastAsia="Symbol" w:cs="Symbol"/>
    </w:rPr>
  </w:style>
  <w:style w:type="character" w:styleId="ListLabel134">
    <w:name w:val="ListLabel 134"/>
    <w:qFormat/>
    <w:rPr>
      <w:rFonts w:eastAsia="Courier New" w:cs="Courier New"/>
    </w:rPr>
  </w:style>
  <w:style w:type="character" w:styleId="ListLabel135">
    <w:name w:val="ListLabel 135"/>
    <w:qFormat/>
    <w:rPr>
      <w:rFonts w:eastAsia="Wingdings" w:cs="Wingdings"/>
    </w:rPr>
  </w:style>
  <w:style w:type="character" w:styleId="ListLabel136">
    <w:name w:val="ListLabel 136"/>
    <w:qFormat/>
    <w:rPr>
      <w:rFonts w:eastAsia="Symbol" w:cs="Symbol"/>
    </w:rPr>
  </w:style>
  <w:style w:type="character" w:styleId="ListLabel137">
    <w:name w:val="ListLabel 137"/>
    <w:qFormat/>
    <w:rPr>
      <w:rFonts w:eastAsia="Courier New" w:cs="Courier New"/>
    </w:rPr>
  </w:style>
  <w:style w:type="character" w:styleId="ListLabel138">
    <w:name w:val="ListLabel 138"/>
    <w:qFormat/>
    <w:rPr>
      <w:rFonts w:eastAsia="Wingdings" w:cs="Wingdings"/>
    </w:rPr>
  </w:style>
  <w:style w:type="character" w:styleId="ListLabel139">
    <w:name w:val="ListLabel 139"/>
    <w:qFormat/>
    <w:rPr>
      <w:rFonts w:cs="Times New Roman"/>
    </w:rPr>
  </w:style>
  <w:style w:type="character" w:styleId="ListLabel140">
    <w:name w:val="ListLabel 140"/>
    <w:qFormat/>
    <w:rPr>
      <w:rFonts w:eastAsia="Courier New" w:cs="Courier New"/>
    </w:rPr>
  </w:style>
  <w:style w:type="character" w:styleId="ListLabel141">
    <w:name w:val="ListLabel 141"/>
    <w:qFormat/>
    <w:rPr>
      <w:rFonts w:eastAsia="Wingdings" w:cs="Wingdings"/>
    </w:rPr>
  </w:style>
  <w:style w:type="character" w:styleId="ListLabel142">
    <w:name w:val="ListLabel 142"/>
    <w:qFormat/>
    <w:rPr>
      <w:rFonts w:eastAsia="Symbol" w:cs="Symbol"/>
    </w:rPr>
  </w:style>
  <w:style w:type="character" w:styleId="ListLabel143">
    <w:name w:val="ListLabel 143"/>
    <w:qFormat/>
    <w:rPr>
      <w:rFonts w:eastAsia="Courier New" w:cs="Courier New"/>
    </w:rPr>
  </w:style>
  <w:style w:type="character" w:styleId="ListLabel144">
    <w:name w:val="ListLabel 144"/>
    <w:qFormat/>
    <w:rPr>
      <w:rFonts w:eastAsia="Wingdings" w:cs="Wingdings"/>
    </w:rPr>
  </w:style>
  <w:style w:type="character" w:styleId="ListLabel145">
    <w:name w:val="ListLabel 145"/>
    <w:qFormat/>
    <w:rPr>
      <w:rFonts w:eastAsia="Symbol" w:cs="Symbol"/>
    </w:rPr>
  </w:style>
  <w:style w:type="character" w:styleId="ListLabel146">
    <w:name w:val="ListLabel 146"/>
    <w:qFormat/>
    <w:rPr>
      <w:rFonts w:eastAsia="Courier New" w:cs="Courier New"/>
    </w:rPr>
  </w:style>
  <w:style w:type="character" w:styleId="ListLabel147">
    <w:name w:val="ListLabel 147"/>
    <w:qFormat/>
    <w:rPr>
      <w:rFonts w:eastAsia="Wingdings" w:cs="Wingdings"/>
    </w:rPr>
  </w:style>
  <w:style w:type="character" w:styleId="ListLabel148">
    <w:name w:val="ListLabel 148"/>
    <w:qFormat/>
    <w:rPr>
      <w:rFonts w:cs="Times New Roman"/>
    </w:rPr>
  </w:style>
  <w:style w:type="character" w:styleId="ListLabel149">
    <w:name w:val="ListLabel 149"/>
    <w:qFormat/>
    <w:rPr>
      <w:rFonts w:eastAsia="Courier New" w:cs="Courier New"/>
    </w:rPr>
  </w:style>
  <w:style w:type="character" w:styleId="ListLabel150">
    <w:name w:val="ListLabel 150"/>
    <w:qFormat/>
    <w:rPr>
      <w:rFonts w:eastAsia="Wingdings" w:cs="Wingdings"/>
    </w:rPr>
  </w:style>
  <w:style w:type="character" w:styleId="ListLabel151">
    <w:name w:val="ListLabel 151"/>
    <w:qFormat/>
    <w:rPr>
      <w:rFonts w:eastAsia="Symbol" w:cs="Symbol"/>
    </w:rPr>
  </w:style>
  <w:style w:type="character" w:styleId="ListLabel152">
    <w:name w:val="ListLabel 152"/>
    <w:qFormat/>
    <w:rPr>
      <w:rFonts w:eastAsia="Courier New" w:cs="Courier New"/>
    </w:rPr>
  </w:style>
  <w:style w:type="character" w:styleId="ListLabel153">
    <w:name w:val="ListLabel 153"/>
    <w:qFormat/>
    <w:rPr>
      <w:rFonts w:eastAsia="Wingdings" w:cs="Wingdings"/>
    </w:rPr>
  </w:style>
  <w:style w:type="character" w:styleId="ListLabel154">
    <w:name w:val="ListLabel 154"/>
    <w:qFormat/>
    <w:rPr>
      <w:rFonts w:eastAsia="Symbol" w:cs="Symbol"/>
    </w:rPr>
  </w:style>
  <w:style w:type="character" w:styleId="ListLabel155">
    <w:name w:val="ListLabel 155"/>
    <w:qFormat/>
    <w:rPr>
      <w:rFonts w:eastAsia="Courier New" w:cs="Courier New"/>
    </w:rPr>
  </w:style>
  <w:style w:type="character" w:styleId="ListLabel156">
    <w:name w:val="ListLabel 156"/>
    <w:qFormat/>
    <w:rPr>
      <w:rFonts w:eastAsia="Wingdings" w:cs="Wingdings"/>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b/>
      <w:i w:val="false"/>
      <w:sz w:val="28"/>
    </w:rPr>
  </w:style>
  <w:style w:type="character" w:styleId="ListLabel167">
    <w:name w:val="ListLabel 167"/>
    <w:qFormat/>
    <w:rPr>
      <w:rFonts w:cs="Times New Roman"/>
      <w:b/>
      <w:i w:val="false"/>
    </w:rPr>
  </w:style>
  <w:style w:type="character" w:styleId="ListLabel168">
    <w:name w:val="ListLabel 168"/>
    <w:qFormat/>
    <w:rPr>
      <w:rFonts w:cs="Times New Roman"/>
      <w:b/>
      <w:i w:val="false"/>
    </w:rPr>
  </w:style>
  <w:style w:type="character" w:styleId="ListLabel169">
    <w:name w:val="ListLabel 169"/>
    <w:qFormat/>
    <w:rPr>
      <w:rFonts w:cs="Times New Roman"/>
      <w:b/>
      <w:i w:val="false"/>
    </w:rPr>
  </w:style>
  <w:style w:type="character" w:styleId="ListLabel170">
    <w:name w:val="ListLabel 170"/>
    <w:qFormat/>
    <w:rPr>
      <w:rFonts w:cs="Times New Roman"/>
      <w:b/>
      <w:i w:val="false"/>
    </w:rPr>
  </w:style>
  <w:style w:type="character" w:styleId="ListLabel171">
    <w:name w:val="ListLabel 171"/>
    <w:qFormat/>
    <w:rPr>
      <w:rFonts w:cs="Times New Roman"/>
      <w:b/>
      <w:i w:val="false"/>
    </w:rPr>
  </w:style>
  <w:style w:type="character" w:styleId="ListLabel172">
    <w:name w:val="ListLabel 172"/>
    <w:qFormat/>
    <w:rPr>
      <w:rFonts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eastAsia="MS Mincho" w:cs="Times New Roman"/>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paragraph" w:styleId="Style20">
    <w:name w:val="Заголовок"/>
    <w:basedOn w:val="Normal"/>
    <w:next w:val="Style21"/>
    <w:qFormat/>
    <w:pPr>
      <w:keepNext w:val="true"/>
      <w:spacing w:before="240" w:after="120"/>
    </w:pPr>
    <w:rPr>
      <w:rFonts w:ascii="Liberation Sans" w:hAnsi="Liberation Sans" w:eastAsia="Droid Sans Fallback" w:cs="Droid Sans Devanagari"/>
      <w:sz w:val="28"/>
      <w:szCs w:val="28"/>
    </w:rPr>
  </w:style>
  <w:style w:type="paragraph" w:styleId="Style21">
    <w:name w:val="Body Text"/>
    <w:basedOn w:val="Normal"/>
    <w:link w:val="aff9"/>
    <w:uiPriority w:val="99"/>
    <w:unhideWhenUsed/>
    <w:pPr>
      <w:spacing w:lineRule="atLeast" w:line="240" w:before="0" w:after="240"/>
      <w:jc w:val="both"/>
    </w:pPr>
    <w:rPr>
      <w:rFonts w:ascii="Cambria" w:hAnsi="Cambria" w:eastAsia="Calibri" w:cs="Times New Roman"/>
    </w:rPr>
  </w:style>
  <w:style w:type="paragraph" w:styleId="Style22">
    <w:name w:val="List"/>
    <w:basedOn w:val="Style21"/>
    <w:pPr/>
    <w:rPr>
      <w:rFonts w:cs="Droid Sans Devanagari"/>
    </w:rPr>
  </w:style>
  <w:style w:type="paragraph" w:styleId="Style23">
    <w:name w:val="Caption"/>
    <w:basedOn w:val="Normal"/>
    <w:qFormat/>
    <w:pPr>
      <w:suppressLineNumbers/>
      <w:spacing w:before="120" w:after="120"/>
    </w:pPr>
    <w:rPr>
      <w:rFonts w:cs="Droid Sans Devanagari"/>
      <w:i/>
      <w:iCs/>
      <w:sz w:val="24"/>
      <w:szCs w:val="24"/>
    </w:rPr>
  </w:style>
  <w:style w:type="paragraph" w:styleId="Style24">
    <w:name w:val="Указатель"/>
    <w:basedOn w:val="Normal"/>
    <w:qFormat/>
    <w:pPr>
      <w:suppressLineNumbers/>
    </w:pPr>
    <w:rPr>
      <w:rFonts w:cs="Droid Sans Devanagari"/>
    </w:rPr>
  </w:style>
  <w:style w:type="paragraph" w:styleId="Style25">
    <w:name w:val="Title"/>
    <w:basedOn w:val="Normal"/>
    <w:next w:val="Normal"/>
    <w:link w:val="a7"/>
    <w:uiPriority w:val="10"/>
    <w:qFormat/>
    <w:pPr>
      <w:spacing w:before="300" w:after="200"/>
      <w:contextualSpacing/>
    </w:pPr>
    <w:rPr>
      <w:sz w:val="48"/>
      <w:szCs w:val="48"/>
    </w:rPr>
  </w:style>
  <w:style w:type="paragraph" w:styleId="Style26">
    <w:name w:val="Subtitle"/>
    <w:basedOn w:val="Normal"/>
    <w:next w:val="Normal"/>
    <w:link w:val="a9"/>
    <w:uiPriority w:val="11"/>
    <w:qFormat/>
    <w:pPr>
      <w:spacing w:before="200" w:after="200"/>
    </w:pPr>
    <w:rPr>
      <w:sz w:val="24"/>
      <w:szCs w:val="24"/>
    </w:rPr>
  </w:style>
  <w:style w:type="paragraph" w:styleId="Quote">
    <w:name w:val="Quote"/>
    <w:basedOn w:val="Normal"/>
    <w:next w:val="Normal"/>
    <w:link w:val="22"/>
    <w:uiPriority w:val="29"/>
    <w:qFormat/>
    <w:pPr>
      <w:ind w:left="720" w:right="720" w:hanging="0"/>
    </w:pPr>
    <w:rPr>
      <w:i/>
    </w:rPr>
  </w:style>
  <w:style w:type="paragraph" w:styleId="IntenseQuote">
    <w:name w:val="Intense Quote"/>
    <w:basedOn w:val="Normal"/>
    <w:next w:val="Normal"/>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Style27">
    <w:name w:val="Endnote Text"/>
    <w:basedOn w:val="Normal"/>
    <w:link w:val="ad"/>
    <w:uiPriority w:val="99"/>
    <w:semiHidden/>
    <w:unhideWhenUsed/>
    <w:pPr>
      <w:spacing w:lineRule="auto" w:line="240" w:before="0" w:after="0"/>
    </w:pPr>
    <w:rPr>
      <w:sz w:val="20"/>
    </w:rPr>
  </w:style>
  <w:style w:type="paragraph" w:styleId="32">
    <w:name w:val="TOC 3"/>
    <w:basedOn w:val="Normal"/>
    <w:next w:val="Normal"/>
    <w:uiPriority w:val="39"/>
    <w:unhideWhenUsed/>
    <w:pPr>
      <w:spacing w:before="0" w:after="57"/>
      <w:ind w:left="567" w:hanging="0"/>
    </w:pPr>
    <w:rPr/>
  </w:style>
  <w:style w:type="paragraph" w:styleId="42">
    <w:name w:val="TOC 4"/>
    <w:basedOn w:val="Normal"/>
    <w:next w:val="Normal"/>
    <w:uiPriority w:val="39"/>
    <w:unhideWhenUsed/>
    <w:pPr>
      <w:spacing w:before="0" w:after="57"/>
      <w:ind w:left="850" w:hanging="0"/>
    </w:pPr>
    <w:rPr/>
  </w:style>
  <w:style w:type="paragraph" w:styleId="52">
    <w:name w:val="TOC 5"/>
    <w:basedOn w:val="Normal"/>
    <w:next w:val="Normal"/>
    <w:uiPriority w:val="39"/>
    <w:unhideWhenUsed/>
    <w:pPr>
      <w:spacing w:before="0" w:after="57"/>
      <w:ind w:left="1134" w:hanging="0"/>
    </w:pPr>
    <w:rPr/>
  </w:style>
  <w:style w:type="paragraph" w:styleId="62">
    <w:name w:val="TOC 6"/>
    <w:basedOn w:val="Normal"/>
    <w:next w:val="Normal"/>
    <w:uiPriority w:val="39"/>
    <w:unhideWhenUsed/>
    <w:pPr>
      <w:spacing w:before="0" w:after="57"/>
      <w:ind w:left="1417" w:hanging="0"/>
    </w:pPr>
    <w:rPr/>
  </w:style>
  <w:style w:type="paragraph" w:styleId="72">
    <w:name w:val="TOC 7"/>
    <w:basedOn w:val="Normal"/>
    <w:next w:val="Normal"/>
    <w:uiPriority w:val="39"/>
    <w:unhideWhenUsed/>
    <w:pPr>
      <w:spacing w:before="0" w:after="57"/>
      <w:ind w:left="1701" w:hanging="0"/>
    </w:pPr>
    <w:rPr/>
  </w:style>
  <w:style w:type="paragraph" w:styleId="82">
    <w:name w:val="TOC 8"/>
    <w:basedOn w:val="Normal"/>
    <w:next w:val="Normal"/>
    <w:uiPriority w:val="39"/>
    <w:unhideWhenUsed/>
    <w:pPr>
      <w:spacing w:before="0" w:after="57"/>
      <w:ind w:left="1984" w:hanging="0"/>
    </w:pPr>
    <w:rPr/>
  </w:style>
  <w:style w:type="paragraph" w:styleId="92">
    <w:name w:val="TOC 9"/>
    <w:basedOn w:val="Normal"/>
    <w:next w:val="Normal"/>
    <w:uiPriority w:val="39"/>
    <w:unhideWhenUsed/>
    <w:pPr>
      <w:spacing w:before="0" w:after="57"/>
      <w:ind w:left="2268" w:hanging="0"/>
    </w:pPr>
    <w:rPr/>
  </w:style>
  <w:style w:type="paragraph" w:styleId="Tableoffigures">
    <w:name w:val="table of figures"/>
    <w:basedOn w:val="Normal"/>
    <w:next w:val="Normal"/>
    <w:uiPriority w:val="99"/>
    <w:unhideWhenUsed/>
    <w:qFormat/>
    <w:pPr>
      <w:spacing w:before="0" w:after="0"/>
    </w:pPr>
    <w:rPr/>
  </w:style>
  <w:style w:type="paragraph" w:styleId="BalloonText">
    <w:name w:val="Balloon Text"/>
    <w:basedOn w:val="Normal"/>
    <w:link w:val="af2"/>
    <w:unhideWhenUsed/>
    <w:qFormat/>
    <w:pPr>
      <w:spacing w:lineRule="auto" w:line="240" w:before="0" w:after="0"/>
    </w:pPr>
    <w:rPr>
      <w:rFonts w:ascii="Tahoma" w:hAnsi="Tahoma" w:cs="Tahoma"/>
      <w:sz w:val="16"/>
      <w:szCs w:val="16"/>
    </w:rPr>
  </w:style>
  <w:style w:type="paragraph" w:styleId="Style28">
    <w:name w:val="Header"/>
    <w:basedOn w:val="Normal"/>
    <w:link w:val="af4"/>
    <w:uiPriority w:val="99"/>
    <w:unhideWhenUsed/>
    <w:pPr>
      <w:tabs>
        <w:tab w:val="clear" w:pos="709"/>
        <w:tab w:val="center" w:pos="4677" w:leader="none"/>
        <w:tab w:val="right" w:pos="9355" w:leader="none"/>
      </w:tabs>
      <w:spacing w:lineRule="auto" w:line="240" w:before="0" w:after="0"/>
    </w:pPr>
    <w:rPr/>
  </w:style>
  <w:style w:type="paragraph" w:styleId="Style29">
    <w:name w:val="Footer"/>
    <w:basedOn w:val="Normal"/>
    <w:link w:val="af6"/>
    <w:unhideWhenUsed/>
    <w:pPr>
      <w:tabs>
        <w:tab w:val="clear" w:pos="709"/>
        <w:tab w:val="center" w:pos="4677" w:leader="none"/>
        <w:tab w:val="right" w:pos="9355" w:leader="none"/>
      </w:tabs>
      <w:spacing w:lineRule="auto" w:line="240" w:before="0" w:after="0"/>
    </w:pPr>
    <w:rPr/>
  </w:style>
  <w:style w:type="paragraph" w:styleId="ListParagraph">
    <w:name w:val="List Paragraph"/>
    <w:basedOn w:val="Normal"/>
    <w:uiPriority w:val="34"/>
    <w:qFormat/>
    <w:pPr>
      <w:spacing w:before="0" w:after="200"/>
      <w:ind w:left="720" w:hanging="0"/>
      <w:contextualSpacing/>
    </w:pPr>
    <w:rPr/>
  </w:style>
  <w:style w:type="paragraph" w:styleId="Default" w:customStyle="1">
    <w:name w:val="Default"/>
    <w:qFormat/>
    <w:pPr>
      <w:widowControl/>
      <w:bidi w:val="0"/>
      <w:spacing w:lineRule="auto" w:line="240" w:before="0" w:after="0"/>
      <w:jc w:val="left"/>
    </w:pPr>
    <w:rPr>
      <w:rFonts w:ascii="Times New Roman" w:hAnsi="Times New Roman" w:cs="Times New Roman" w:eastAsia="Calibri"/>
      <w:color w:val="000000"/>
      <w:kern w:val="0"/>
      <w:sz w:val="24"/>
      <w:szCs w:val="24"/>
      <w:lang w:val="ru-RU" w:eastAsia="en-US" w:bidi="ar-SA"/>
    </w:rPr>
  </w:style>
  <w:style w:type="paragraph" w:styleId="25" w:customStyle="1">
    <w:name w:val="Основной текст (2)"/>
    <w:basedOn w:val="Normal"/>
    <w:link w:val="25"/>
    <w:uiPriority w:val="99"/>
    <w:qFormat/>
    <w:pPr>
      <w:widowControl w:val="false"/>
      <w:shd w:val="clear" w:color="auto" w:fill="FFFFFF"/>
      <w:spacing w:lineRule="atLeast" w:line="240" w:before="180" w:after="0"/>
      <w:ind w:hanging="1460"/>
      <w:jc w:val="center"/>
    </w:pPr>
    <w:rPr>
      <w:rFonts w:ascii="Arial" w:hAnsi="Arial" w:cs="Arial"/>
      <w:sz w:val="28"/>
      <w:szCs w:val="28"/>
    </w:rPr>
  </w:style>
  <w:style w:type="paragraph" w:styleId="NoSpacing">
    <w:name w:val="No Spacing"/>
    <w:link w:val="afa"/>
    <w:uiPriority w:val="99"/>
    <w:qFormat/>
    <w:pPr>
      <w:widowControl/>
      <w:bidi w:val="0"/>
      <w:spacing w:lineRule="auto" w:line="240" w:before="0" w:after="0"/>
      <w:jc w:val="left"/>
    </w:pPr>
    <w:rPr>
      <w:rFonts w:eastAsia="Arial" w:eastAsiaTheme="minorEastAsia" w:ascii="Calibri" w:hAnsi="Calibri" w:cs="Arial"/>
      <w:color w:val="auto"/>
      <w:kern w:val="0"/>
      <w:sz w:val="22"/>
      <w:szCs w:val="22"/>
      <w:lang w:eastAsia="ru-RU" w:val="ru-RU" w:bidi="ar-SA"/>
    </w:rPr>
  </w:style>
  <w:style w:type="paragraph" w:styleId="Annotationtext">
    <w:name w:val="annotation text"/>
    <w:basedOn w:val="Normal"/>
    <w:link w:val="afd"/>
    <w:unhideWhenUsed/>
    <w:qFormat/>
    <w:pPr>
      <w:spacing w:lineRule="auto" w:line="240"/>
    </w:pPr>
    <w:rPr>
      <w:sz w:val="20"/>
      <w:szCs w:val="20"/>
    </w:rPr>
  </w:style>
  <w:style w:type="paragraph" w:styleId="Annotationsubject">
    <w:name w:val="annotation subject"/>
    <w:basedOn w:val="Annotationtext"/>
    <w:next w:val="Annotationtext"/>
    <w:link w:val="aff0"/>
    <w:unhideWhenUsed/>
    <w:qFormat/>
    <w:pPr/>
    <w:rPr>
      <w:b/>
      <w:bCs/>
    </w:rPr>
  </w:style>
  <w:style w:type="paragraph" w:styleId="Style30">
    <w:name w:val="Footnote Text"/>
    <w:basedOn w:val="Normal"/>
    <w:link w:val="aff2"/>
    <w:unhideWhenUsed/>
    <w:pPr>
      <w:spacing w:lineRule="auto" w:line="240" w:before="0" w:after="0"/>
    </w:pPr>
    <w:rPr>
      <w:sz w:val="20"/>
      <w:szCs w:val="20"/>
    </w:rPr>
  </w:style>
  <w:style w:type="paragraph" w:styleId="Caption">
    <w:name w:val="caption"/>
    <w:basedOn w:val="Normal"/>
    <w:next w:val="Normal"/>
    <w:unhideWhenUsed/>
    <w:qFormat/>
    <w:pPr>
      <w:spacing w:lineRule="auto" w:line="240"/>
    </w:pPr>
    <w:rPr>
      <w:i/>
      <w:iCs/>
      <w:color w:val="1F497D" w:themeColor="text2"/>
      <w:sz w:val="18"/>
      <w:szCs w:val="18"/>
    </w:rPr>
  </w:style>
  <w:style w:type="paragraph" w:styleId="Revision">
    <w:name w:val="Revision"/>
    <w:uiPriority w:val="99"/>
    <w:semiHidden/>
    <w:qFormat/>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1OsnAbz" w:customStyle="1">
    <w:name w:val="1_Osn_Abz"/>
    <w:qFormat/>
    <w:pPr>
      <w:widowControl w:val="false"/>
      <w:bidi w:val="0"/>
      <w:spacing w:lineRule="auto" w:line="240" w:before="120" w:after="120"/>
      <w:jc w:val="both"/>
    </w:pPr>
    <w:rPr>
      <w:rFonts w:ascii="Arial" w:hAnsi="Arial" w:eastAsia="MS Mincho" w:cs="Arial"/>
      <w:color w:val="000000"/>
      <w:kern w:val="0"/>
      <w:sz w:val="20"/>
      <w:szCs w:val="20"/>
      <w:lang w:eastAsia="ru-RU" w:val="ru-RU" w:bidi="ar-SA"/>
    </w:rPr>
  </w:style>
  <w:style w:type="paragraph" w:styleId="12" w:customStyle="1">
    <w:name w:val="Список литературы1"/>
    <w:basedOn w:val="Normal"/>
    <w:qFormat/>
    <w:pPr>
      <w:tabs>
        <w:tab w:val="clear" w:pos="709"/>
        <w:tab w:val="left" w:pos="660" w:leader="none"/>
      </w:tabs>
      <w:spacing w:lineRule="atLeast" w:line="230" w:before="0" w:after="240"/>
      <w:jc w:val="both"/>
    </w:pPr>
    <w:rPr>
      <w:rFonts w:ascii="Arial" w:hAnsi="Arial" w:eastAsia="MS Mincho" w:cs="Times New Roman"/>
      <w:sz w:val="20"/>
      <w:szCs w:val="20"/>
      <w:lang w:val="en-GB" w:eastAsia="fr-FR"/>
    </w:rPr>
  </w:style>
  <w:style w:type="paragraph" w:styleId="20" w:customStyle="1">
    <w:name w:val="Основной текст (2)_0"/>
    <w:basedOn w:val="Normal"/>
    <w:qFormat/>
    <w:pPr>
      <w:widowControl w:val="false"/>
      <w:shd w:val="clear" w:color="auto" w:fill="FFFFFF"/>
      <w:spacing w:lineRule="exact" w:line="230" w:before="360" w:after="180"/>
      <w:jc w:val="both"/>
    </w:pPr>
    <w:rPr>
      <w:rFonts w:ascii="Arial" w:hAnsi="Arial" w:eastAsia="Arial" w:cs="Arial"/>
      <w:sz w:val="20"/>
      <w:szCs w:val="20"/>
      <w:lang w:eastAsia="ru-RU"/>
    </w:rPr>
  </w:style>
  <w:style w:type="paragraph" w:styleId="13" w:customStyle="1">
    <w:name w:val="Абзац списка1"/>
    <w:basedOn w:val="Normal"/>
    <w:qFormat/>
    <w:pPr>
      <w:spacing w:lineRule="auto" w:line="240" w:before="0" w:after="0"/>
      <w:ind w:left="720" w:hanging="0"/>
      <w:contextualSpacing/>
    </w:pPr>
    <w:rPr>
      <w:rFonts w:ascii="Calibri" w:hAnsi="Calibri" w:eastAsia="Times New Roman" w:cs="Times New Roman"/>
    </w:rPr>
  </w:style>
  <w:style w:type="paragraph" w:styleId="1Primechanie" w:customStyle="1">
    <w:name w:val="1_Primechanie"/>
    <w:basedOn w:val="1OsnAbz"/>
    <w:next w:val="1OsnAbz"/>
    <w:qFormat/>
    <w:pPr/>
    <w:rPr>
      <w:sz w:val="18"/>
    </w:rPr>
  </w:style>
  <w:style w:type="paragraph" w:styleId="1ZagL1" w:customStyle="1">
    <w:name w:val="1_Zag_L1"/>
    <w:next w:val="1OsnAbz"/>
    <w:qFormat/>
    <w:pPr>
      <w:widowControl w:val="false"/>
      <w:bidi w:val="0"/>
      <w:spacing w:lineRule="auto" w:line="240" w:before="120" w:after="120"/>
      <w:jc w:val="both"/>
      <w:outlineLvl w:val="0"/>
    </w:pPr>
    <w:rPr>
      <w:rFonts w:ascii="Arial" w:hAnsi="Arial" w:eastAsia="MS Mincho" w:cs="Arial"/>
      <w:b/>
      <w:color w:val="000000"/>
      <w:kern w:val="0"/>
      <w:sz w:val="24"/>
      <w:szCs w:val="20"/>
      <w:lang w:eastAsia="ru-RU" w:val="ru-RU" w:bidi="ar-SA"/>
    </w:rPr>
  </w:style>
  <w:style w:type="paragraph" w:styleId="Formattext" w:customStyle="1">
    <w:name w:val="formattext"/>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Arial" w:cs="Times New Roman" w:eastAsiaTheme="minorEastAsia"/>
      <w:sz w:val="24"/>
      <w:szCs w:val="24"/>
      <w:lang w:eastAsia="ru-RU"/>
    </w:rPr>
  </w:style>
  <w:style w:type="paragraph" w:styleId="1ZagL2" w:customStyle="1">
    <w:name w:val="1_Zag_L2"/>
    <w:basedOn w:val="1OsnAbz"/>
    <w:next w:val="1OsnAbz"/>
    <w:qFormat/>
    <w:pPr>
      <w:outlineLvl w:val="1"/>
    </w:pPr>
    <w:rPr>
      <w:b/>
      <w:sz w:val="22"/>
    </w:rPr>
  </w:style>
  <w:style w:type="paragraph" w:styleId="1ZagL3" w:customStyle="1">
    <w:name w:val="1_Zag_L3"/>
    <w:basedOn w:val="1ZagL1"/>
    <w:next w:val="1OsnAbz"/>
    <w:qFormat/>
    <w:pPr>
      <w:outlineLvl w:val="2"/>
    </w:pPr>
    <w:rPr>
      <w:sz w:val="20"/>
    </w:rPr>
  </w:style>
  <w:style w:type="paragraph" w:styleId="A2" w:customStyle="1">
    <w:name w:val="a2"/>
    <w:basedOn w:val="2"/>
    <w:next w:val="Normal"/>
    <w:qFormat/>
    <w:pPr>
      <w:widowControl/>
      <w:numPr>
        <w:ilvl w:val="0"/>
        <w:numId w:val="0"/>
      </w:numPr>
      <w:tabs>
        <w:tab w:val="clear" w:pos="709"/>
        <w:tab w:val="left" w:pos="500" w:leader="none"/>
        <w:tab w:val="left" w:pos="540" w:leader="none"/>
        <w:tab w:val="left" w:pos="720" w:leader="none"/>
      </w:tabs>
      <w:spacing w:lineRule="exact" w:line="270" w:before="270" w:after="240"/>
      <w:jc w:val="left"/>
    </w:pPr>
    <w:rPr>
      <w:rFonts w:ascii="Arial" w:hAnsi="Arial" w:eastAsia="MS Mincho" w:cs="Times New Roman"/>
      <w:i/>
      <w:szCs w:val="20"/>
      <w:lang w:val="en-GB" w:eastAsia="fr-FR"/>
    </w:rPr>
  </w:style>
  <w:style w:type="paragraph" w:styleId="A3" w:customStyle="1">
    <w:name w:val="a3"/>
    <w:basedOn w:val="3"/>
    <w:next w:val="Normal"/>
    <w:qFormat/>
    <w:pPr>
      <w:widowControl/>
      <w:numPr>
        <w:ilvl w:val="0"/>
        <w:numId w:val="0"/>
      </w:numPr>
      <w:tabs>
        <w:tab w:val="clear" w:pos="709"/>
        <w:tab w:val="left" w:pos="640" w:leader="none"/>
        <w:tab w:val="left" w:pos="880" w:leader="none"/>
      </w:tabs>
      <w:spacing w:lineRule="exact" w:line="250" w:before="60" w:after="240"/>
      <w:jc w:val="left"/>
    </w:pPr>
    <w:rPr>
      <w:rFonts w:ascii="Arial" w:hAnsi="Arial" w:eastAsia="MS Mincho" w:cs="Times New Roman"/>
      <w:sz w:val="22"/>
      <w:szCs w:val="20"/>
      <w:lang w:val="en-GB" w:eastAsia="fr-FR"/>
    </w:rPr>
  </w:style>
  <w:style w:type="paragraph" w:styleId="A4" w:customStyle="1">
    <w:name w:val="a4"/>
    <w:basedOn w:val="4"/>
    <w:next w:val="Normal"/>
    <w:qFormat/>
    <w:pPr>
      <w:keepLines w:val="false"/>
      <w:tabs>
        <w:tab w:val="clear" w:pos="709"/>
        <w:tab w:val="left" w:pos="880" w:leader="none"/>
        <w:tab w:val="left" w:pos="1140" w:leader="none"/>
        <w:tab w:val="left" w:pos="1360" w:leader="none"/>
      </w:tabs>
      <w:spacing w:lineRule="exact" w:line="230" w:before="60" w:after="240"/>
    </w:pPr>
    <w:rPr>
      <w:rFonts w:ascii="Arial" w:hAnsi="Arial" w:eastAsia="MS Mincho" w:cs="Times New Roman"/>
      <w:b/>
      <w:bCs/>
      <w:i w:val="false"/>
      <w:iCs w:val="false"/>
      <w:color w:val="auto"/>
      <w:sz w:val="20"/>
      <w:szCs w:val="20"/>
      <w:lang w:val="en-GB" w:eastAsia="fr-FR"/>
    </w:rPr>
  </w:style>
  <w:style w:type="paragraph" w:styleId="A5" w:customStyle="1">
    <w:name w:val="a5"/>
    <w:basedOn w:val="5"/>
    <w:next w:val="Normal"/>
    <w:qFormat/>
    <w:pPr>
      <w:keepNext w:val="true"/>
      <w:tabs>
        <w:tab w:val="left" w:pos="1080" w:leader="none"/>
        <w:tab w:val="left" w:pos="1140" w:leader="none"/>
        <w:tab w:val="left" w:pos="1360" w:leader="none"/>
      </w:tabs>
      <w:spacing w:lineRule="exact" w:line="230" w:before="60" w:after="240"/>
    </w:pPr>
    <w:rPr>
      <w:rFonts w:ascii="Arial" w:hAnsi="Arial"/>
      <w:bCs w:val="false"/>
      <w:i w:val="false"/>
      <w:iCs w:val="false"/>
      <w:sz w:val="20"/>
      <w:szCs w:val="20"/>
      <w:lang w:val="en-GB" w:eastAsia="fr-FR"/>
    </w:rPr>
  </w:style>
  <w:style w:type="paragraph" w:styleId="A6" w:customStyle="1">
    <w:name w:val="a6"/>
    <w:basedOn w:val="6"/>
    <w:next w:val="Normal"/>
    <w:qFormat/>
    <w:pPr>
      <w:keepLines w:val="false"/>
      <w:tabs>
        <w:tab w:val="clear" w:pos="709"/>
        <w:tab w:val="left" w:pos="1140" w:leader="none"/>
        <w:tab w:val="left" w:pos="1360" w:leader="none"/>
      </w:tabs>
      <w:spacing w:lineRule="exact" w:line="230" w:before="60" w:after="240"/>
    </w:pPr>
    <w:rPr>
      <w:rFonts w:ascii="Arial" w:hAnsi="Arial" w:eastAsia="MS Mincho" w:cs="Times New Roman"/>
      <w:b/>
      <w:i w:val="false"/>
      <w:iCs w:val="false"/>
      <w:color w:val="auto"/>
      <w:sz w:val="20"/>
      <w:szCs w:val="20"/>
      <w:lang w:val="en-GB" w:eastAsia="fr-FR"/>
    </w:rPr>
  </w:style>
  <w:style w:type="paragraph" w:styleId="ANNEX" w:customStyle="1">
    <w:name w:val="ANNEX"/>
    <w:basedOn w:val="Normal"/>
    <w:next w:val="Normal"/>
    <w:qFormat/>
    <w:pPr>
      <w:keepNext w:val="true"/>
      <w:pageBreakBefore/>
      <w:spacing w:lineRule="exact" w:line="310" w:before="0" w:after="760"/>
      <w:jc w:val="center"/>
      <w:outlineLvl w:val="0"/>
    </w:pPr>
    <w:rPr>
      <w:rFonts w:ascii="Arial" w:hAnsi="Arial" w:eastAsia="MS Mincho" w:cs="Times New Roman"/>
      <w:b/>
      <w:sz w:val="28"/>
      <w:szCs w:val="20"/>
      <w:lang w:val="en-GB" w:eastAsia="fr-FR"/>
    </w:rPr>
  </w:style>
  <w:style w:type="paragraph" w:styleId="Definition" w:customStyle="1">
    <w:name w:val="Definition"/>
    <w:basedOn w:val="Normal"/>
    <w:next w:val="Normal"/>
    <w:qFormat/>
    <w:pPr>
      <w:spacing w:lineRule="atLeast" w:line="230" w:before="0" w:after="240"/>
      <w:jc w:val="both"/>
    </w:pPr>
    <w:rPr>
      <w:rFonts w:ascii="Arial" w:hAnsi="Arial" w:eastAsia="MS Mincho" w:cs="Times New Roman"/>
      <w:sz w:val="20"/>
      <w:szCs w:val="20"/>
      <w:lang w:val="en-GB" w:eastAsia="fr-FR"/>
    </w:rPr>
  </w:style>
  <w:style w:type="paragraph" w:styleId="Example" w:customStyle="1">
    <w:name w:val="Example"/>
    <w:basedOn w:val="Normal"/>
    <w:next w:val="Normal"/>
    <w:qFormat/>
    <w:pPr>
      <w:tabs>
        <w:tab w:val="clear" w:pos="709"/>
        <w:tab w:val="left" w:pos="1360" w:leader="none"/>
      </w:tabs>
      <w:spacing w:lineRule="atLeast" w:line="210" w:before="0" w:after="240"/>
      <w:jc w:val="both"/>
    </w:pPr>
    <w:rPr>
      <w:rFonts w:ascii="Arial" w:hAnsi="Arial" w:eastAsia="MS Mincho" w:cs="Times New Roman"/>
      <w:sz w:val="18"/>
      <w:szCs w:val="20"/>
      <w:lang w:val="en-GB" w:eastAsia="fr-FR"/>
    </w:rPr>
  </w:style>
  <w:style w:type="paragraph" w:styleId="Figurefootnote" w:customStyle="1">
    <w:name w:val="Figure footnote"/>
    <w:basedOn w:val="Normal"/>
    <w:qFormat/>
    <w:pPr>
      <w:keepNext w:val="true"/>
      <w:tabs>
        <w:tab w:val="clear" w:pos="709"/>
        <w:tab w:val="left" w:pos="340" w:leader="none"/>
      </w:tabs>
      <w:spacing w:lineRule="atLeast" w:line="210" w:before="0" w:after="60"/>
      <w:jc w:val="both"/>
    </w:pPr>
    <w:rPr>
      <w:rFonts w:ascii="Arial" w:hAnsi="Arial" w:eastAsia="MS Mincho" w:cs="Times New Roman"/>
      <w:sz w:val="18"/>
      <w:szCs w:val="20"/>
      <w:lang w:val="en-GB" w:eastAsia="fr-FR"/>
    </w:rPr>
  </w:style>
  <w:style w:type="paragraph" w:styleId="Figuretitle" w:customStyle="1">
    <w:name w:val="Figure title"/>
    <w:basedOn w:val="Normal"/>
    <w:next w:val="Normal"/>
    <w:qFormat/>
    <w:pPr>
      <w:spacing w:lineRule="atLeast" w:line="230" w:before="220" w:after="220"/>
      <w:jc w:val="center"/>
    </w:pPr>
    <w:rPr>
      <w:rFonts w:ascii="Arial" w:hAnsi="Arial" w:eastAsia="MS Mincho" w:cs="Times New Roman"/>
      <w:b/>
      <w:sz w:val="20"/>
      <w:szCs w:val="20"/>
      <w:lang w:val="en-GB" w:eastAsia="fr-FR"/>
    </w:rPr>
  </w:style>
  <w:style w:type="paragraph" w:styleId="Foreword" w:customStyle="1">
    <w:name w:val="Foreword"/>
    <w:basedOn w:val="Normal"/>
    <w:next w:val="Normal"/>
    <w:qFormat/>
    <w:pPr>
      <w:spacing w:lineRule="atLeast" w:line="230" w:before="0" w:after="240"/>
      <w:jc w:val="both"/>
    </w:pPr>
    <w:rPr>
      <w:rFonts w:ascii="Arial" w:hAnsi="Arial" w:eastAsia="MS Mincho" w:cs="Times New Roman"/>
      <w:color w:val="0000FF"/>
      <w:sz w:val="20"/>
      <w:szCs w:val="20"/>
      <w:lang w:val="en-GB" w:eastAsia="fr-FR"/>
    </w:rPr>
  </w:style>
  <w:style w:type="paragraph" w:styleId="Formula" w:customStyle="1">
    <w:name w:val="Formula"/>
    <w:basedOn w:val="Normal"/>
    <w:next w:val="Normal"/>
    <w:qFormat/>
    <w:pPr>
      <w:tabs>
        <w:tab w:val="clear" w:pos="709"/>
        <w:tab w:val="right" w:pos="9752" w:leader="none"/>
      </w:tabs>
      <w:spacing w:lineRule="atLeast" w:line="230" w:before="0" w:after="220"/>
      <w:ind w:left="403" w:hanging="0"/>
    </w:pPr>
    <w:rPr>
      <w:rFonts w:ascii="Arial" w:hAnsi="Arial" w:eastAsia="MS Mincho" w:cs="Times New Roman"/>
      <w:sz w:val="20"/>
      <w:szCs w:val="20"/>
      <w:lang w:val="en-GB" w:eastAsia="fr-FR"/>
    </w:rPr>
  </w:style>
  <w:style w:type="paragraph" w:styleId="L1" w:customStyle="1">
    <w:name w:val="L1"/>
    <w:basedOn w:val="Normal"/>
    <w:qFormat/>
    <w:pPr>
      <w:widowControl w:val="false"/>
      <w:spacing w:lineRule="auto" w:line="240" w:before="80" w:after="80"/>
      <w:jc w:val="both"/>
      <w:outlineLvl w:val="0"/>
    </w:pPr>
    <w:rPr>
      <w:rFonts w:ascii="Times New Roman" w:hAnsi="Times New Roman" w:eastAsia="Times New Roman" w:cs="Times New Roman"/>
      <w:b/>
      <w:color w:val="000000"/>
      <w:sz w:val="24"/>
      <w:szCs w:val="24"/>
      <w:lang w:eastAsia="ja-JP"/>
    </w:rPr>
  </w:style>
  <w:style w:type="paragraph" w:styleId="L2" w:customStyle="1">
    <w:name w:val="L2"/>
    <w:basedOn w:val="Normal"/>
    <w:qFormat/>
    <w:pPr>
      <w:widowControl w:val="false"/>
      <w:spacing w:lineRule="auto" w:line="240" w:before="80" w:after="0"/>
      <w:jc w:val="both"/>
      <w:outlineLvl w:val="1"/>
    </w:pPr>
    <w:rPr>
      <w:rFonts w:ascii="Times New Roman" w:hAnsi="Times New Roman" w:eastAsia="Times New Roman" w:cs="Times New Roman"/>
      <w:b/>
      <w:color w:val="000000"/>
      <w:sz w:val="24"/>
      <w:szCs w:val="24"/>
      <w:lang w:eastAsia="ja-JP"/>
    </w:rPr>
  </w:style>
  <w:style w:type="paragraph" w:styleId="Note" w:customStyle="1">
    <w:name w:val="Note"/>
    <w:basedOn w:val="Normal"/>
    <w:next w:val="Normal"/>
    <w:qFormat/>
    <w:pPr>
      <w:tabs>
        <w:tab w:val="clear" w:pos="709"/>
        <w:tab w:val="left" w:pos="960" w:leader="none"/>
      </w:tabs>
      <w:spacing w:lineRule="atLeast" w:line="210" w:before="0" w:after="240"/>
      <w:jc w:val="both"/>
    </w:pPr>
    <w:rPr>
      <w:rFonts w:ascii="Arial" w:hAnsi="Arial" w:eastAsia="MS Mincho" w:cs="Times New Roman"/>
      <w:sz w:val="18"/>
      <w:szCs w:val="20"/>
      <w:lang w:val="en-GB" w:eastAsia="fr-FR"/>
    </w:rPr>
  </w:style>
  <w:style w:type="paragraph" w:styleId="RefNorm" w:customStyle="1">
    <w:name w:val="RefNorm"/>
    <w:basedOn w:val="Normal"/>
    <w:next w:val="Normal"/>
    <w:qFormat/>
    <w:pPr>
      <w:spacing w:lineRule="atLeast" w:line="230" w:before="0" w:after="240"/>
      <w:jc w:val="both"/>
    </w:pPr>
    <w:rPr>
      <w:rFonts w:ascii="Arial" w:hAnsi="Arial" w:eastAsia="MS Mincho" w:cs="Times New Roman"/>
      <w:sz w:val="20"/>
      <w:szCs w:val="20"/>
      <w:lang w:val="en-GB" w:eastAsia="fr-FR"/>
    </w:rPr>
  </w:style>
  <w:style w:type="paragraph" w:styleId="Tablefootnote" w:customStyle="1">
    <w:name w:val="Table footnote"/>
    <w:basedOn w:val="Normal"/>
    <w:qFormat/>
    <w:pPr>
      <w:tabs>
        <w:tab w:val="clear" w:pos="709"/>
        <w:tab w:val="left" w:pos="340" w:leader="none"/>
      </w:tabs>
      <w:spacing w:lineRule="atLeast" w:line="190" w:before="60" w:after="60"/>
      <w:jc w:val="both"/>
    </w:pPr>
    <w:rPr>
      <w:rFonts w:ascii="Arial" w:hAnsi="Arial" w:eastAsia="MS Mincho" w:cs="Times New Roman"/>
      <w:sz w:val="16"/>
      <w:szCs w:val="20"/>
      <w:lang w:val="en-GB" w:eastAsia="fr-FR"/>
    </w:rPr>
  </w:style>
  <w:style w:type="paragraph" w:styleId="TableNote" w:customStyle="1">
    <w:name w:val="Table Note"/>
    <w:basedOn w:val="Note"/>
    <w:qFormat/>
    <w:pPr>
      <w:tabs>
        <w:tab w:val="left" w:pos="960" w:leader="none"/>
        <w:tab w:val="left" w:pos="1080" w:leader="none"/>
      </w:tabs>
      <w:spacing w:before="60" w:after="60"/>
    </w:pPr>
    <w:rPr>
      <w:lang w:eastAsia="ru-RU"/>
    </w:rPr>
  </w:style>
  <w:style w:type="paragraph" w:styleId="TableNote8" w:customStyle="1">
    <w:name w:val="Table Note (8)"/>
    <w:basedOn w:val="Note"/>
    <w:qFormat/>
    <w:pPr>
      <w:spacing w:before="60" w:after="60"/>
    </w:pPr>
    <w:rPr>
      <w:sz w:val="16"/>
      <w:lang w:eastAsia="ru-RU"/>
    </w:rPr>
  </w:style>
  <w:style w:type="paragraph" w:styleId="TableText" w:customStyle="1">
    <w:name w:val="Table Text"/>
    <w:basedOn w:val="Normal"/>
    <w:qFormat/>
    <w:pPr>
      <w:tabs>
        <w:tab w:val="clear" w:pos="709"/>
        <w:tab w:val="left" w:pos="1080" w:leader="none"/>
        <w:tab w:val="left" w:pos="1440" w:leader="none"/>
        <w:tab w:val="left" w:pos="2160" w:leader="none"/>
        <w:tab w:val="left" w:pos="2880" w:leader="none"/>
        <w:tab w:val="left" w:pos="3600" w:leader="none"/>
        <w:tab w:val="left" w:pos="4320" w:leader="none"/>
        <w:tab w:val="left" w:pos="5040" w:leader="none"/>
        <w:tab w:val="left" w:pos="5760" w:leader="none"/>
        <w:tab w:val="right" w:pos="6840" w:leader="none"/>
      </w:tabs>
      <w:spacing w:lineRule="auto" w:line="240" w:before="40" w:after="40"/>
    </w:pPr>
    <w:rPr>
      <w:rFonts w:ascii="Arial" w:hAnsi="Arial" w:eastAsia="MS Mincho" w:cs="Arial"/>
      <w:sz w:val="20"/>
      <w:szCs w:val="20"/>
      <w:lang w:val="en-GB" w:eastAsia="ru-RU"/>
    </w:rPr>
  </w:style>
  <w:style w:type="paragraph" w:styleId="Tabletext7" w:customStyle="1">
    <w:name w:val="Table text (7)"/>
    <w:basedOn w:val="Normal"/>
    <w:qFormat/>
    <w:pPr>
      <w:spacing w:lineRule="atLeast" w:line="170" w:before="60" w:after="60"/>
      <w:jc w:val="both"/>
    </w:pPr>
    <w:rPr>
      <w:rFonts w:ascii="Arial" w:hAnsi="Arial" w:eastAsia="MS Mincho" w:cs="Times New Roman"/>
      <w:sz w:val="14"/>
      <w:szCs w:val="20"/>
      <w:lang w:val="en-GB" w:eastAsia="fr-FR"/>
    </w:rPr>
  </w:style>
  <w:style w:type="paragraph" w:styleId="Tabletext8" w:customStyle="1">
    <w:name w:val="Table text (8)"/>
    <w:basedOn w:val="Normal"/>
    <w:qFormat/>
    <w:pPr>
      <w:spacing w:lineRule="atLeast" w:line="190" w:before="60" w:after="60"/>
      <w:jc w:val="both"/>
    </w:pPr>
    <w:rPr>
      <w:rFonts w:ascii="Arial" w:hAnsi="Arial" w:eastAsia="MS Mincho" w:cs="Times New Roman"/>
      <w:sz w:val="16"/>
      <w:szCs w:val="20"/>
      <w:lang w:val="en-GB" w:eastAsia="fr-FR"/>
    </w:rPr>
  </w:style>
  <w:style w:type="paragraph" w:styleId="Tabletext9" w:customStyle="1">
    <w:name w:val="Table text (9)"/>
    <w:basedOn w:val="Normal"/>
    <w:qFormat/>
    <w:pPr>
      <w:spacing w:lineRule="atLeast" w:line="210" w:before="60" w:after="60"/>
      <w:jc w:val="both"/>
    </w:pPr>
    <w:rPr>
      <w:rFonts w:ascii="Arial" w:hAnsi="Arial" w:eastAsia="MS Mincho" w:cs="Times New Roman"/>
      <w:sz w:val="18"/>
      <w:szCs w:val="20"/>
      <w:lang w:val="en-GB" w:eastAsia="fr-FR"/>
    </w:rPr>
  </w:style>
  <w:style w:type="paragraph" w:styleId="Tabletitle" w:customStyle="1">
    <w:name w:val="Table title"/>
    <w:basedOn w:val="Normal"/>
    <w:next w:val="Normal"/>
    <w:qFormat/>
    <w:pPr>
      <w:keepNext w:val="true"/>
      <w:spacing w:lineRule="exact" w:line="230" w:before="120" w:after="120"/>
      <w:jc w:val="center"/>
    </w:pPr>
    <w:rPr>
      <w:rFonts w:ascii="Arial" w:hAnsi="Arial" w:eastAsia="MS Mincho" w:cs="Times New Roman"/>
      <w:b/>
      <w:sz w:val="20"/>
      <w:szCs w:val="20"/>
      <w:lang w:val="en-GB" w:eastAsia="fr-FR"/>
    </w:rPr>
  </w:style>
  <w:style w:type="paragraph" w:styleId="Terms" w:customStyle="1">
    <w:name w:val="Term(s)"/>
    <w:basedOn w:val="Normal"/>
    <w:next w:val="Normal"/>
    <w:qFormat/>
    <w:pPr>
      <w:keepNext w:val="true"/>
      <w:spacing w:lineRule="atLeast" w:line="230" w:before="0" w:after="0"/>
    </w:pPr>
    <w:rPr>
      <w:rFonts w:ascii="Arial" w:hAnsi="Arial" w:eastAsia="MS Mincho" w:cs="Times New Roman"/>
      <w:b/>
      <w:sz w:val="20"/>
      <w:szCs w:val="20"/>
      <w:lang w:val="en-GB" w:eastAsia="fr-FR"/>
    </w:rPr>
  </w:style>
  <w:style w:type="paragraph" w:styleId="TermNum" w:customStyle="1">
    <w:name w:val="TermNum"/>
    <w:basedOn w:val="Normal"/>
    <w:next w:val="Terms"/>
    <w:qFormat/>
    <w:pPr>
      <w:keepNext w:val="true"/>
      <w:spacing w:lineRule="atLeast" w:line="230" w:before="0" w:after="0"/>
      <w:jc w:val="both"/>
    </w:pPr>
    <w:rPr>
      <w:rFonts w:ascii="Arial" w:hAnsi="Arial" w:eastAsia="MS Mincho" w:cs="Times New Roman"/>
      <w:b/>
      <w:sz w:val="20"/>
      <w:szCs w:val="20"/>
      <w:lang w:val="en-GB" w:eastAsia="fr-FR"/>
    </w:rPr>
  </w:style>
  <w:style w:type="paragraph" w:styleId="ZzBiblio" w:customStyle="1">
    <w:name w:val="zzBiblio"/>
    <w:basedOn w:val="Normal"/>
    <w:next w:val="Normal"/>
    <w:qFormat/>
    <w:pPr>
      <w:pageBreakBefore/>
      <w:spacing w:lineRule="exact" w:line="310" w:before="0" w:after="760"/>
      <w:jc w:val="center"/>
    </w:pPr>
    <w:rPr>
      <w:rFonts w:ascii="Arial" w:hAnsi="Arial" w:eastAsia="MS Mincho" w:cs="Times New Roman"/>
      <w:b/>
      <w:sz w:val="28"/>
      <w:szCs w:val="20"/>
      <w:lang w:val="en-GB" w:eastAsia="fr-FR"/>
    </w:rPr>
  </w:style>
  <w:style w:type="paragraph" w:styleId="ZzContents" w:customStyle="1">
    <w:name w:val="zzContents"/>
    <w:basedOn w:val="Normal"/>
    <w:next w:val="Normal"/>
    <w:qFormat/>
    <w:pPr>
      <w:keepNext w:val="true"/>
      <w:pageBreakBefore/>
      <w:spacing w:lineRule="exact" w:line="310" w:before="960" w:after="310"/>
    </w:pPr>
    <w:rPr>
      <w:rFonts w:ascii="Arial" w:hAnsi="Arial" w:eastAsia="MS Mincho" w:cs="Times New Roman"/>
      <w:b/>
      <w:sz w:val="28"/>
      <w:szCs w:val="20"/>
      <w:lang w:val="en-GB" w:eastAsia="fr-FR"/>
    </w:rPr>
  </w:style>
  <w:style w:type="paragraph" w:styleId="ZzCopyright" w:customStyle="1">
    <w:name w:val="zzCopyright"/>
    <w:basedOn w:val="Normal"/>
    <w:next w:val="Normal"/>
    <w:qFormat/>
    <w:pPr>
      <w:pBdr>
        <w:top w:val="single" w:sz="4" w:space="1" w:color="0000FF"/>
        <w:left w:val="single" w:sz="4" w:space="4" w:color="0000FF"/>
        <w:bottom w:val="single" w:sz="4" w:space="1" w:color="0000FF"/>
        <w:right w:val="single" w:sz="4" w:space="4" w:color="0000FF"/>
      </w:pBdr>
      <w:tabs>
        <w:tab w:val="clear" w:pos="709"/>
        <w:tab w:val="left" w:pos="514" w:leader="none"/>
        <w:tab w:val="left" w:pos="9623" w:leader="none"/>
      </w:tabs>
      <w:spacing w:lineRule="atLeast" w:line="230" w:before="0" w:after="240"/>
      <w:ind w:left="284" w:right="284" w:hanging="0"/>
      <w:jc w:val="both"/>
    </w:pPr>
    <w:rPr>
      <w:rFonts w:ascii="Arial" w:hAnsi="Arial" w:eastAsia="MS Mincho" w:cs="Times New Roman"/>
      <w:color w:val="0000FF"/>
      <w:sz w:val="20"/>
      <w:szCs w:val="20"/>
      <w:lang w:val="en-GB" w:eastAsia="fr-FR"/>
    </w:rPr>
  </w:style>
  <w:style w:type="paragraph" w:styleId="ZzCover" w:customStyle="1">
    <w:name w:val="zzCover"/>
    <w:basedOn w:val="Normal"/>
    <w:qFormat/>
    <w:pPr>
      <w:spacing w:lineRule="atLeast" w:line="230" w:before="0" w:after="220"/>
      <w:jc w:val="right"/>
    </w:pPr>
    <w:rPr>
      <w:rFonts w:ascii="Arial" w:hAnsi="Arial" w:eastAsia="MS Mincho" w:cs="Times New Roman"/>
      <w:b/>
      <w:color w:val="000000"/>
      <w:sz w:val="24"/>
      <w:szCs w:val="20"/>
      <w:lang w:val="en-GB" w:eastAsia="fr-FR"/>
    </w:rPr>
  </w:style>
  <w:style w:type="paragraph" w:styleId="ZzForeword" w:customStyle="1">
    <w:name w:val="zzForeword"/>
    <w:basedOn w:val="Normal"/>
    <w:next w:val="Normal"/>
    <w:qFormat/>
    <w:pPr>
      <w:keepNext w:val="true"/>
      <w:pageBreakBefore/>
      <w:spacing w:lineRule="exact" w:line="310" w:before="960" w:after="310"/>
    </w:pPr>
    <w:rPr>
      <w:rFonts w:ascii="Arial" w:hAnsi="Arial" w:eastAsia="MS Mincho" w:cs="Times New Roman"/>
      <w:b/>
      <w:color w:val="0000FF"/>
      <w:sz w:val="28"/>
      <w:szCs w:val="20"/>
      <w:lang w:val="en-GB" w:eastAsia="fr-FR"/>
    </w:rPr>
  </w:style>
  <w:style w:type="paragraph" w:styleId="ZzHelp" w:customStyle="1">
    <w:name w:val="zzHelp"/>
    <w:basedOn w:val="Normal"/>
    <w:qFormat/>
    <w:pPr>
      <w:spacing w:lineRule="atLeast" w:line="230" w:before="0" w:after="240"/>
      <w:jc w:val="both"/>
    </w:pPr>
    <w:rPr>
      <w:rFonts w:ascii="Arial" w:hAnsi="Arial" w:eastAsia="MS Mincho" w:cs="Times New Roman"/>
      <w:color w:val="008000"/>
      <w:sz w:val="20"/>
      <w:szCs w:val="20"/>
      <w:lang w:val="en-GB" w:eastAsia="fr-FR"/>
    </w:rPr>
  </w:style>
  <w:style w:type="paragraph" w:styleId="ZzIndex" w:customStyle="1">
    <w:name w:val="zzIndex"/>
    <w:basedOn w:val="ZzBiblio"/>
    <w:next w:val="Normal"/>
    <w:qFormat/>
    <w:pPr/>
    <w:rPr/>
  </w:style>
  <w:style w:type="paragraph" w:styleId="ZzSTDTitle" w:customStyle="1">
    <w:name w:val="zzSTDTitle"/>
    <w:basedOn w:val="Normal"/>
    <w:next w:val="Normal"/>
    <w:qFormat/>
    <w:pPr>
      <w:spacing w:lineRule="exact" w:line="350" w:before="400" w:after="760"/>
    </w:pPr>
    <w:rPr>
      <w:rFonts w:ascii="Arial" w:hAnsi="Arial" w:eastAsia="MS Mincho" w:cs="Times New Roman"/>
      <w:b/>
      <w:color w:val="0000FF"/>
      <w:sz w:val="32"/>
      <w:szCs w:val="20"/>
      <w:lang w:val="en-GB" w:eastAsia="fr-FR"/>
    </w:rPr>
  </w:style>
  <w:style w:type="paragraph" w:styleId="14" w:customStyle="1">
    <w:name w:val="Рецензия1"/>
    <w:qFormat/>
    <w:pPr>
      <w:widowControl/>
      <w:bidi w:val="0"/>
      <w:spacing w:lineRule="auto" w:line="240" w:before="0" w:after="0"/>
      <w:jc w:val="left"/>
    </w:pPr>
    <w:rPr>
      <w:rFonts w:ascii="Cambria" w:hAnsi="Cambria" w:eastAsia="MS Mincho" w:cs="Times New Roman"/>
      <w:color w:val="auto"/>
      <w:kern w:val="0"/>
      <w:sz w:val="22"/>
      <w:szCs w:val="20"/>
      <w:lang w:val="en-GB" w:eastAsia="ja-JP" w:bidi="ar-SA"/>
    </w:rPr>
  </w:style>
  <w:style w:type="paragraph" w:styleId="15">
    <w:name w:val="TOC 1"/>
    <w:basedOn w:val="Normal"/>
    <w:next w:val="Normal"/>
    <w:uiPriority w:val="39"/>
    <w:pPr>
      <w:tabs>
        <w:tab w:val="left" w:pos="709" w:leader="none"/>
        <w:tab w:val="right" w:pos="9741" w:leader="dot"/>
      </w:tabs>
      <w:spacing w:lineRule="auto" w:line="240" w:before="120" w:after="0"/>
      <w:ind w:left="709" w:hanging="709"/>
    </w:pPr>
    <w:rPr>
      <w:rFonts w:ascii="Arial" w:hAnsi="Arial" w:eastAsia="MS Mincho" w:cs="Times New Roman"/>
      <w:b/>
      <w:sz w:val="20"/>
      <w:szCs w:val="24"/>
      <w:lang w:eastAsia="ja-JP"/>
    </w:rPr>
  </w:style>
  <w:style w:type="paragraph" w:styleId="26">
    <w:name w:val="TOC 2"/>
    <w:basedOn w:val="Normal"/>
    <w:next w:val="Normal"/>
    <w:uiPriority w:val="39"/>
    <w:pPr>
      <w:spacing w:lineRule="auto" w:line="240" w:before="0" w:after="0"/>
      <w:ind w:left="240" w:hanging="0"/>
    </w:pPr>
    <w:rPr>
      <w:rFonts w:ascii="Arial" w:hAnsi="Arial" w:eastAsia="MS Mincho" w:cs="Times New Roman"/>
      <w:sz w:val="20"/>
      <w:szCs w:val="24"/>
      <w:lang w:eastAsia="ja-JP"/>
    </w:rPr>
  </w:style>
  <w:style w:type="paragraph" w:styleId="ListNumber">
    <w:name w:val="List Number"/>
    <w:basedOn w:val="Normal"/>
    <w:uiPriority w:val="99"/>
    <w:qFormat/>
    <w:pPr>
      <w:tabs>
        <w:tab w:val="clear" w:pos="709"/>
        <w:tab w:val="left" w:pos="0" w:leader="none"/>
        <w:tab w:val="left" w:pos="400" w:leader="none"/>
      </w:tabs>
      <w:spacing w:lineRule="atLeast" w:line="240" w:before="0" w:after="240"/>
      <w:ind w:left="400" w:hanging="400"/>
      <w:jc w:val="both"/>
    </w:pPr>
    <w:rPr>
      <w:rFonts w:ascii="Arial" w:hAnsi="Arial" w:eastAsia="MS Mincho" w:cs="Times New Roman"/>
      <w:sz w:val="20"/>
      <w:szCs w:val="20"/>
      <w:lang w:eastAsia="ja-JP"/>
    </w:rPr>
  </w:style>
  <w:style w:type="paragraph" w:styleId="ForewordText" w:customStyle="1">
    <w:name w:val="Foreword Text"/>
    <w:basedOn w:val="Normal"/>
    <w:qFormat/>
    <w:pPr>
      <w:spacing w:lineRule="atLeast" w:line="240" w:before="0" w:after="240"/>
      <w:jc w:val="both"/>
    </w:pPr>
    <w:rPr>
      <w:rFonts w:ascii="Cambria" w:hAnsi="Cambria" w:eastAsia="Calibri" w:cs="Times New Roman"/>
    </w:rPr>
  </w:style>
  <w:style w:type="paragraph" w:styleId="IntroTitle" w:customStyle="1">
    <w:name w:val="Intro Title"/>
    <w:basedOn w:val="Normal"/>
    <w:qFormat/>
    <w:pPr>
      <w:keepNext w:val="true"/>
      <w:pageBreakBefore/>
      <w:spacing w:lineRule="atLeast" w:line="310" w:before="310" w:after="310"/>
      <w:outlineLvl w:val="0"/>
    </w:pPr>
    <w:rPr>
      <w:rFonts w:ascii="Cambria" w:hAnsi="Cambria" w:eastAsia="Calibri" w:cs="Times New Roman"/>
      <w:b/>
      <w:sz w:val="28"/>
    </w:rPr>
  </w:style>
  <w:style w:type="paragraph" w:styleId="Pbcopy" w:customStyle="1">
    <w:name w:val="pbcopy"/>
    <w:basedOn w:val="Style29"/>
    <w:qFormat/>
    <w:pPr>
      <w:tabs>
        <w:tab w:val="clear" w:pos="4677"/>
        <w:tab w:val="clear" w:pos="9355"/>
      </w:tabs>
      <w:spacing w:lineRule="exact" w:line="190" w:before="0" w:after="60"/>
      <w:jc w:val="both"/>
    </w:pPr>
    <w:rPr>
      <w:rFonts w:ascii="Arial" w:hAnsi="Arial" w:eastAsia="Times New Roman" w:cs="Times New Roman"/>
      <w:sz w:val="16"/>
      <w:szCs w:val="20"/>
      <w:lang w:val="en-GB"/>
    </w:rPr>
  </w:style>
  <w:style w:type="paragraph" w:styleId="TOCHeading">
    <w:name w:val="TOC Heading"/>
    <w:basedOn w:val="1"/>
    <w:next w:val="Normal"/>
    <w:uiPriority w:val="39"/>
    <w:unhideWhenUsed/>
    <w:qFormat/>
    <w:pPr>
      <w:keepLines/>
      <w:widowControl/>
      <w:numPr>
        <w:ilvl w:val="0"/>
        <w:numId w:val="0"/>
      </w:numPr>
      <w:spacing w:lineRule="auto" w:line="259" w:before="240" w:after="0"/>
      <w:ind w:left="0" w:hanging="0"/>
      <w:jc w:val="left"/>
    </w:pPr>
    <w:rPr>
      <w:rFonts w:ascii="Calibri Light" w:hAnsi="Calibri Light" w:cs="Times New Roman"/>
      <w:b w:val="false"/>
      <w:bCs w:val="false"/>
      <w:color w:val="2E74B5"/>
      <w:sz w:val="32"/>
      <w:lang w:eastAsia="ru-RU"/>
    </w:rPr>
  </w:style>
  <w:style w:type="paragraph" w:styleId="Style31">
    <w:name w:val="Содержимое врезки"/>
    <w:basedOn w:val="Normal"/>
    <w:qFormat/>
    <w:pPr/>
    <w:rPr/>
  </w:style>
  <w:style w:type="paragraph" w:styleId="Style32">
    <w:name w:val="Верхний колонтитул слева"/>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2">
    <w:name w:val="Plain Table 1"/>
    <w:basedOn w:val="a1"/>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b/>
        <w:color w:val="404040"/>
        <w:sz w:val="22"/>
      </w:rPr>
      <w:tbl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shd w:val="clear" w:color="F2F2F2" w:fill="F2F2F2" w:themeFill="text1" w:themeFillTint="d"/>
      </w:tcPr>
    </w:tblStylePr>
    <w:tblStylePr w:type="band1Horz">
      <w:tblPr/>
      <w:tcPr>
        <w:shd w:val="clear" w:color="F2F2F2" w:fill="F2F2F2" w:themeFill="text1" w:themeFillTint="d"/>
      </w:tcPr>
    </w:tblStylePr>
  </w:style>
  <w:style w:type="table" w:styleId="23">
    <w:name w:val="Plain Table 2"/>
    <w:basedOn w:val="a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b/>
        <w:color w:val="404040"/>
        <w:sz w:val="22"/>
      </w:rPr>
      <w:tblPr/>
      <w:tcPr>
        <w:tcBorders>
          <w:top w:val="single" w:color="000000" w:themeColor="text1" w:sz="4" w:space="0"/>
          <w:bottom w:val="single" w:color="000000" w:themeColor="text1" w:sz="4" w:space="0"/>
        </w:tcBorders>
      </w:tc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FFFFFF" w:fill="auto"/>
      </w:tcPr>
    </w:tblStylePr>
    <w:tblStylePr w:type="lastRow">
      <w:rPr>
        <w:i/>
        <w:color w:val="404040"/>
      </w:rPr>
      <w:tblPr/>
      <w:tcPr>
        <w:tcBorders>
          <w:top w:val="single" w:color="404040" w:sz="4" w:space="0"/>
          <w:left w:val="none" w:color="000000" w:sz="4" w:space="0"/>
          <w:right w:val="none" w:color="000000" w:sz="4" w:space="0"/>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color w:val="404040"/>
        <w:sz w:val="22"/>
      </w:rPr>
      <w:tblPr/>
      <w:tcPr>
        <w:shd w:val="clear" w:color="F2F2F2" w:fill="F2F2F2" w:themeFill="text1" w:themeFillTint="d"/>
      </w:tcPr>
    </w:tblStylePr>
    <w:tblStylePr w:type="band1Horz">
      <w:rPr>
        <w:color w:val="404040"/>
        <w:sz w:val="22"/>
      </w:rPr>
      <w:tblPr/>
      <w:tcPr>
        <w:shd w:val="clear" w:color="F2F2F2" w:fill="F2F2F2" w:themeFill="text1" w:themeFillTint="d"/>
      </w:tcPr>
    </w:tblStylePr>
  </w:style>
  <w:style w:type="table" w:styleId="-1">
    <w:name w:val="Grid Table 1 Light"/>
    <w:basedOn w:val="a1"/>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b/>
        <w:color w:val="404040"/>
      </w:rPr>
      <w:tblPr/>
      <w:tcPr>
        <w:tcBorders>
          <w:bottom w:val="single" w:color="97B4D8" w:themeColor="accen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b/>
        <w:color w:val="404040"/>
      </w:rPr>
      <w:tblPr/>
      <w:tcPr>
        <w:tcBorders>
          <w:bottom w:val="single" w:color="DA9896" w:themeColor="accent2"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D" w:themeColor="accent3"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b/>
        <w:color w:val="404040"/>
      </w:rPr>
      <w:tblPr/>
      <w:tcPr>
        <w:tcBorders>
          <w:bottom w:val="single" w:color="95CEDD" w:themeColor="accent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2">
    <w:name w:val="Grid Table 2"/>
    <w:basedOn w:val="a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sz="12" w:space="0"/>
          <w:right w:val="none" w:color="000000" w:sz="4" w:space="0"/>
        </w:tcBorders>
        <w:shd w:val="clear" w:color="FFFFFF" w:fill="auto"/>
      </w:tcPr>
    </w:tblStylePr>
    <w:tblStylePr w:type="lastRow">
      <w:rPr>
        <w:b/>
        <w:color w:val="404040"/>
      </w:rPr>
      <w:tblPr/>
      <w:tcPr>
        <w:tcBorders>
          <w:top w:val="single" w:color="6A6A6A" w:themeColor="tex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single" w:color="5D8AC2" w:themeColor="accent1" w:sz="12" w:space="0"/>
          <w:right w:val="none" w:color="000000" w:sz="4" w:space="0"/>
        </w:tcBorders>
        <w:shd w:val="clear" w:color="FFFFFF" w:fill="auto"/>
      </w:tcPr>
    </w:tblStylePr>
    <w:tblStylePr w:type="lastRow">
      <w:rPr>
        <w:b/>
        <w:color w:val="404040"/>
      </w:rPr>
      <w:tblPr/>
      <w:tcPr>
        <w:tcBorders>
          <w:top w:val="single" w:color="5D8AC2" w:themeColor="accent1"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single" w:color="D99695" w:themeColor="accent2" w:sz="12" w:space="0"/>
          <w:right w:val="none" w:color="000000" w:sz="4" w:space="0"/>
        </w:tcBorders>
        <w:shd w:val="clear" w:color="FFFFFF" w:fill="auto"/>
      </w:tcPr>
    </w:tblStylePr>
    <w:tblStylePr w:type="lastRow">
      <w:rPr>
        <w:b/>
        <w:color w:val="404040"/>
      </w:rPr>
      <w:tblPr/>
      <w:tcPr>
        <w:tcBorders>
          <w:top w:val="single" w:color="D99695" w:themeColor="accent2"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single" w:color="9ABB59" w:themeColor="accent3" w:sz="12" w:space="0"/>
          <w:right w:val="none" w:color="000000" w:sz="4" w:space="0"/>
        </w:tcBorders>
        <w:shd w:val="clear" w:color="FFFFFF" w:fill="auto"/>
      </w:tcPr>
    </w:tblStylePr>
    <w:tblStylePr w:type="lastRow">
      <w:rPr>
        <w:b/>
        <w:color w:val="404040"/>
      </w:rPr>
      <w:tblPr/>
      <w:tcPr>
        <w:tcBorders>
          <w:top w:val="single" w:color="9ABB59" w:themeColor="accent3"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single" w:color="B2A1C6" w:themeColor="accent4" w:sz="12" w:space="0"/>
          <w:right w:val="none" w:color="000000" w:sz="4" w:space="0"/>
        </w:tcBorders>
        <w:shd w:val="clear" w:color="FFFFFF" w:fill="auto"/>
      </w:tcPr>
    </w:tblStylePr>
    <w:tblStylePr w:type="lastRow">
      <w:rPr>
        <w:b/>
        <w:color w:val="404040"/>
      </w:rPr>
      <w:tblPr/>
      <w:tcPr>
        <w:tcBorders>
          <w:top w:val="single" w:color="B2A1C6" w:themeColor="accent4"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single" w:color="4BACC6" w:themeColor="accent5" w:sz="12" w:space="0"/>
          <w:right w:val="none" w:color="000000" w:sz="4" w:space="0"/>
        </w:tcBorders>
        <w:shd w:val="clear" w:color="FFFFFF" w:fill="auto"/>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single" w:color="F79646" w:themeColor="accent6" w:sz="12" w:space="0"/>
          <w:right w:val="none" w:color="000000" w:sz="4" w:space="0"/>
        </w:tcBorders>
        <w:shd w:val="clear" w:color="FFFFFF" w:fill="auto"/>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b/>
        <w:color w:val="FFFFFF"/>
        <w:sz w:val="22"/>
      </w:rPr>
      <w:tblPr/>
      <w:tcPr>
        <w:tcBorders>
          <w:top w:val="single" w:color="5D8AC2" w:themeColor="accent1" w:sz="4" w:space="0"/>
          <w:left w:val="single" w:color="5D8AC2" w:themeColor="accent1" w:sz="4" w:space="0"/>
          <w:bottom w:val="single" w:color="5D8AC2" w:themeColor="accent1" w:sz="4" w:space="0"/>
          <w:right w:val="single" w:color="5D8AC2" w:themeColor="accent1" w:sz="4" w:space="0"/>
        </w:tcBorders>
        <w:shd w:val="clear" w:color="5D8AC2" w:fill="5D8AC2" w:themeFill="accent1" w:themeFillTint="ea"/>
      </w:tcPr>
    </w:tblStylePr>
    <w:tblStylePr w:type="lastRow">
      <w:rPr>
        <w:b/>
        <w:color w:val="404040"/>
      </w:rPr>
      <w:tblPr/>
      <w:tcPr>
        <w:tcBorders>
          <w:top w:val="single" w:color="5D8AC2" w:themeColor="accen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firstRow">
      <w:rPr>
        <w:b/>
        <w:color w:val="FFFFFF"/>
        <w:sz w:val="22"/>
      </w:rPr>
      <w:tblPr/>
      <w:tcPr>
        <w:tcBorders>
          <w:top w:val="single" w:color="D99695" w:themeColor="accent2" w:sz="4" w:space="0"/>
          <w:left w:val="single" w:color="D99695" w:themeColor="accent2" w:sz="4" w:space="0"/>
          <w:bottom w:val="single" w:color="D99695" w:themeColor="accent2" w:sz="4" w:space="0"/>
          <w:right w:val="single" w:color="D99695" w:themeColor="accent2" w:sz="4" w:space="0"/>
        </w:tcBorders>
        <w:shd w:val="clear" w:color="D99695" w:fill="D99695" w:themeFill="accent2" w:themeFillTint="97"/>
      </w:tcPr>
    </w:tblStylePr>
    <w:tblStylePr w:type="lastRow">
      <w:rPr>
        <w:b/>
        <w:color w:val="404040"/>
      </w:rPr>
      <w:tblPr/>
      <w:tcPr>
        <w:tcBorders>
          <w:top w:val="single" w:color="D99695" w:themeColor="accent2"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b/>
        <w:color w:val="FFFFFF"/>
        <w:sz w:val="22"/>
      </w:rPr>
      <w:tblPr/>
      <w:tcPr>
        <w:tcBorders>
          <w:top w:val="single" w:color="9ABB59" w:themeColor="accent3" w:sz="4" w:space="0"/>
          <w:left w:val="single" w:color="9ABB59" w:themeColor="accent3" w:sz="4" w:space="0"/>
          <w:bottom w:val="single" w:color="9ABB59" w:themeColor="accent3" w:sz="4" w:space="0"/>
          <w:right w:val="single" w:color="9ABB59" w:themeColor="accent3" w:sz="4" w:space="0"/>
        </w:tcBorders>
        <w:shd w:val="clear" w:color="9ABB59" w:fill="9ABB59" w:themeFill="accent3" w:themeFillTint="fe"/>
      </w:tcPr>
    </w:tblStylePr>
    <w:tblStylePr w:type="lastRow">
      <w:rPr>
        <w:b/>
        <w:color w:val="404040"/>
      </w:rPr>
      <w:tblPr/>
      <w:tcPr>
        <w:tcBorders>
          <w:top w:val="single" w:color="9ABB59" w:themeColor="accent3"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b/>
        <w:color w:val="FFFFFF"/>
        <w:sz w:val="22"/>
      </w:rPr>
      <w:tblPr/>
      <w:tcPr>
        <w:tcBorders>
          <w:top w:val="single" w:color="B2A1C6" w:themeColor="accent4" w:sz="4" w:space="0"/>
          <w:left w:val="single" w:color="B2A1C6" w:themeColor="accent4" w:sz="4" w:space="0"/>
          <w:bottom w:val="single" w:color="B2A1C6" w:themeColor="accent4" w:sz="4" w:space="0"/>
          <w:right w:val="single" w:color="B2A1C6" w:themeColor="accent4" w:sz="4" w:space="0"/>
        </w:tcBorders>
        <w:shd w:val="clear" w:color="B2A1C6" w:fill="B2A1C6" w:themeFill="accent4" w:themeFillTint="9a"/>
      </w:tcPr>
    </w:tblStylePr>
    <w:tblStylePr w:type="lastRow">
      <w:rPr>
        <w:b/>
        <w:color w:val="404040"/>
      </w:rPr>
      <w:tblPr/>
      <w:tcPr>
        <w:tcBorders>
          <w:top w:val="single" w:color="B2A1C6" w:themeColor="accent4"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color="FFFFFF" w:themeColor="light1" w:sz="4" w:space="0"/>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color="FFFFFF" w:themeColor="light1" w:sz="4" w:space="0"/>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color="FFFFFF" w:themeColor="light1" w:sz="4" w:space="0"/>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color="FFFFFF" w:themeColor="light1" w:sz="4" w:space="0"/>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color="FFFFFF" w:themeColor="light1" w:sz="4" w:space="0"/>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color="FFFFFF" w:themeColor="light1" w:sz="4" w:space="0"/>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color="FFFFFF" w:themeColor="light1" w:sz="4" w:space="0"/>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sz="12" w:space="0"/>
        </w:tcBorders>
      </w:tcPr>
    </w:tblStylePr>
    <w:tblStylePr w:type="lastRow">
      <w:rPr>
        <w:b/>
        <w:color w:val="7F7F7F" w:themeColor="text1" w:themeTint="80" w:themeShade="95"/>
      </w:rPr>
      <w:tblPr/>
    </w:tblStylePr>
    <w:tblStylePr w:type="firstCol">
      <w:rPr>
        <w:b/>
        <w:color w:val="7F7F7F" w:themeColor="text1" w:themeTint="80" w:themeShade="95"/>
      </w:rPr>
      <w:tblPr/>
    </w:tblStylePr>
    <w:tblStylePr w:type="lastCol">
      <w:rPr>
        <w:b/>
        <w:color w:val="7F7F7F" w:themeColor="text1" w:themeTint="80" w:themeShade="95"/>
      </w:rPr>
      <w:tbl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rPr>
      <w:tblPr/>
      <w:tcPr>
        <w:tcBorders>
          <w:bottom w:val="single" w:color="A6BFDD" w:themeColor="accent1" w:sz="12" w:space="0"/>
        </w:tcBorders>
      </w:tcPr>
    </w:tblStylePr>
    <w:tblStylePr w:type="lastRow">
      <w:rPr>
        <w:b/>
        <w:color w:val="A6BFDD" w:themeColor="accent1" w:themeTint="80" w:themeShade="95"/>
      </w:rPr>
      <w:tblPr/>
    </w:tblStylePr>
    <w:tblStylePr w:type="firstCol">
      <w:rPr>
        <w:b/>
        <w:color w:val="A6BFDD" w:themeColor="accent1" w:themeTint="80" w:themeShade="95"/>
      </w:rPr>
      <w:tblPr/>
    </w:tblStylePr>
    <w:tblStylePr w:type="lastCol">
      <w:rPr>
        <w:b/>
        <w:color w:val="A6BFDD" w:themeColor="accent1" w:themeTint="80" w:themeShade="95"/>
      </w:rPr>
      <w:tbl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rPr>
      <w:tblPr/>
      <w:tcPr>
        <w:tcBorders>
          <w:bottom w:val="single" w:color="D99695" w:themeColor="accent2" w:sz="12" w:space="0"/>
        </w:tcBorders>
      </w:tcPr>
    </w:tblStylePr>
    <w:tblStylePr w:type="lastRow">
      <w:rPr>
        <w:b/>
        <w:color w:val="D99695" w:themeColor="accent2" w:themeTint="97" w:themeShade="95"/>
      </w:rPr>
      <w:tbl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rPr>
      <w:tblPr/>
      <w:tcPr>
        <w:tcBorders>
          <w:bottom w:val="single" w:color="9ABB59" w:themeColor="accent3" w:sz="12" w:space="0"/>
        </w:tcBorders>
      </w:tcPr>
    </w:tblStylePr>
    <w:tblStylePr w:type="lastRow">
      <w:rPr>
        <w:b/>
        <w:color w:val="9ABB59" w:themeColor="accent3" w:themeTint="fe" w:themeShade="95"/>
      </w:rPr>
      <w:tblPr/>
    </w:tblStylePr>
    <w:tblStylePr w:type="firstCol">
      <w:rPr>
        <w:b/>
        <w:color w:val="9ABB59" w:themeColor="accent3" w:themeTint="fe" w:themeShade="95"/>
      </w:rPr>
      <w:tblPr/>
    </w:tblStylePr>
    <w:tblStylePr w:type="lastCol">
      <w:rPr>
        <w:b/>
        <w:color w:val="9ABB59" w:themeColor="accent3" w:themeTint="fe" w:themeShade="95"/>
      </w:rPr>
      <w:tbl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rPr>
      <w:tblPr/>
      <w:tcPr>
        <w:tcBorders>
          <w:bottom w:val="single" w:color="B2A1C6" w:themeColor="accent4" w:sz="12" w:space="0"/>
        </w:tcBorders>
      </w:tcPr>
    </w:tblStylePr>
    <w:tblStylePr w:type="lastRow">
      <w:rPr>
        <w:b/>
        <w:color w:val="B2A1C6" w:themeColor="accent4" w:themeTint="9a" w:themeShade="95"/>
      </w:rPr>
      <w:tbl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blPr/>
      <w:tcPr>
        <w:tcBorders>
          <w:bottom w:val="single" w:color="4BACC6" w:themeColor="accent5"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blPr/>
      <w:tcPr>
        <w:tcBorders>
          <w:bottom w:val="single" w:color="F79646" w:themeColor="accent6"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Pr/>
    </w:tblStylePr>
  </w:style>
  <w:style w:type="table" w:styleId="-7">
    <w:name w:val="Grid Table 7 Colorful"/>
    <w:basedOn w:val="a1"/>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b/>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F2F2F2" w:fill="F2F2F2" w:themeFill="text1" w:themeFillTint="d"/>
      </w:tcPr>
    </w:tblStylePr>
    <w:tblStylePr w:type="band1Horz">
      <w:rPr>
        <w:color w:val="7F7F7F" w:themeColor="text1" w:themeTint="80" w:themeShade="95"/>
        <w:sz w:val="22"/>
      </w:rPr>
      <w:tblPr/>
      <w:tcPr>
        <w:shd w:val="clear" w:color="F2F2F2" w:fill="F2F2F2" w:themeFill="text1" w:themeFillTint="d"/>
      </w:tcPr>
    </w:tblStylePr>
    <w:tblStylePr w:type="band2Horz">
      <w:rPr>
        <w:color w:val="7F7F7F" w:themeColor="text1" w:themeTint="80" w:themeShade="95"/>
        <w:sz w:val="22"/>
      </w:rPr>
      <w:tbl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sz w:val="22"/>
      </w:rPr>
      <w:tblPr/>
      <w:tcPr>
        <w:tcBorders>
          <w:top w:val="none" w:color="auto" w:sz="0" w:space="0"/>
          <w:left w:val="none" w:color="auto" w:sz="0" w:space="0"/>
          <w:bottom w:val="single" w:color="A6BFDD" w:themeColor="accent1" w:sz="4" w:space="0"/>
          <w:right w:val="none" w:color="auto" w:sz="0" w:space="0"/>
        </w:tcBorders>
        <w:shd w:val="clear" w:color="FFFFFF" w:fill="FFFFFF" w:themeFill="light1"/>
      </w:tcPr>
    </w:tblStylePr>
    <w:tblStylePr w:type="lastRow">
      <w:rPr>
        <w:b/>
        <w:color w:val="A6BFDD" w:themeColor="accent1" w:themeTint="80" w:themeShade="95"/>
        <w:sz w:val="22"/>
      </w:rPr>
      <w:tblPr/>
      <w:tcPr>
        <w:tcBorders>
          <w:top w:val="single" w:color="A6BFD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A6BFDD" w:themeColor="accent1" w:themeTint="80" w:themeShade="95"/>
        <w:sz w:val="22"/>
      </w:rPr>
      <w:tblPr/>
      <w:tcPr>
        <w:tcBorders>
          <w:top w:val="none" w:color="auto" w:sz="0" w:space="0"/>
          <w:left w:val="none" w:color="auto" w:sz="0" w:space="0"/>
          <w:bottom w:val="none" w:color="auto" w:sz="0" w:space="0"/>
          <w:right w:val="single" w:color="A6BFDD" w:themeColor="accent1" w:sz="4" w:space="0"/>
        </w:tcBorders>
        <w:shd w:val="clear" w:color="FFFFFF" w:fill="auto"/>
      </w:tcPr>
    </w:tblStylePr>
    <w:tblStylePr w:type="lastCol">
      <w:rPr>
        <w:i/>
        <w:color w:val="A6BFDD" w:themeColor="accent1" w:themeTint="80" w:themeShade="95"/>
        <w:sz w:val="22"/>
      </w:rPr>
      <w:tblPr/>
      <w:tcPr>
        <w:tcBorders>
          <w:top w:val="none" w:color="auto" w:sz="0" w:space="0"/>
          <w:left w:val="single" w:color="A6BFDD" w:themeColor="accent1" w:sz="4" w:space="0"/>
          <w:bottom w:val="none" w:color="auto" w:sz="0" w:space="0"/>
          <w:right w:val="none" w:color="auto" w:sz="0" w:space="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b/>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sz w:val="22"/>
      </w:rPr>
      <w:tblPr/>
      <w:tcPr>
        <w:tcBorders>
          <w:top w:val="none" w:color="auto" w:sz="0" w:space="0"/>
          <w:left w:val="none" w:color="auto" w:sz="0" w:space="0"/>
          <w:bottom w:val="single" w:color="9ABB59" w:themeColor="accent3" w:sz="4" w:space="0"/>
          <w:right w:val="none" w:color="auto" w:sz="0" w:space="0"/>
        </w:tcBorders>
        <w:shd w:val="clear" w:color="FFFFFF" w:fill="FFFFFF" w:themeFill="light1"/>
      </w:tcPr>
    </w:tblStylePr>
    <w:tblStylePr w:type="lastRow">
      <w:rPr>
        <w:b/>
        <w:color w:val="9ABB59" w:themeColor="accent3" w:themeTint="fe" w:themeShade="95"/>
        <w:sz w:val="22"/>
      </w:rPr>
      <w:tblPr/>
      <w:tcPr>
        <w:tcBorders>
          <w:top w:val="single" w:color="9ABB59"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ABB59" w:themeColor="accent3" w:themeTint="fe" w:themeShade="95"/>
        <w:sz w:val="22"/>
      </w:rPr>
      <w:tblPr/>
      <w:tcPr>
        <w:tcBorders>
          <w:top w:val="none" w:color="auto" w:sz="0" w:space="0"/>
          <w:left w:val="none" w:color="auto" w:sz="0" w:space="0"/>
          <w:bottom w:val="none" w:color="auto" w:sz="0" w:space="0"/>
          <w:right w:val="single" w:color="9ABB59" w:themeColor="accent3" w:sz="4" w:space="0"/>
        </w:tcBorders>
        <w:shd w:val="clear" w:color="FFFFFF" w:fill="auto"/>
      </w:tcPr>
    </w:tblStylePr>
    <w:tblStylePr w:type="lastCol">
      <w:rPr>
        <w:i/>
        <w:color w:val="9ABB59" w:themeColor="accent3" w:themeTint="fe" w:themeShade="95"/>
        <w:sz w:val="22"/>
      </w:rPr>
      <w:tblPr/>
      <w:tcPr>
        <w:tcBorders>
          <w:top w:val="none" w:color="auto" w:sz="0" w:space="0"/>
          <w:left w:val="single" w:color="9ABB59" w:themeColor="accent3" w:sz="4" w:space="0"/>
          <w:bottom w:val="none" w:color="auto" w:sz="0" w:space="0"/>
          <w:right w:val="none" w:color="auto" w:sz="0" w:space="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b/>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266779" w:themeColor="accent5" w:themeShade="95"/>
        <w:sz w:val="22"/>
      </w:rPr>
      <w:tblPr/>
      <w:tcPr>
        <w:tcBorders>
          <w:top w:val="none" w:color="auto" w:sz="0" w:space="0"/>
          <w:left w:val="none" w:color="auto" w:sz="0" w:space="0"/>
          <w:bottom w:val="single" w:color="99D0DE" w:themeColor="accent5" w:sz="4" w:space="0"/>
          <w:right w:val="none" w:color="auto" w:sz="0" w:space="0"/>
        </w:tcBorders>
        <w:shd w:val="clear" w:color="FFFFFF" w:fill="FFFFFF" w:themeFill="light1"/>
      </w:tcPr>
    </w:tblStylePr>
    <w:tblStylePr w:type="lastRow">
      <w:rPr>
        <w:b/>
        <w:color w:val="266779" w:themeColor="accent5" w:themeShade="95"/>
        <w:sz w:val="22"/>
      </w:rPr>
      <w:tblPr/>
      <w:tcPr>
        <w:tcBorders>
          <w:top w:val="single" w:color="99D0DE"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66779" w:themeColor="accent5" w:themeShade="95"/>
        <w:sz w:val="22"/>
      </w:rPr>
      <w:tblPr/>
      <w:tcPr>
        <w:tcBorders>
          <w:top w:val="none" w:color="auto" w:sz="0" w:space="0"/>
          <w:left w:val="none" w:color="auto" w:sz="0" w:space="0"/>
          <w:bottom w:val="none" w:color="auto" w:sz="0" w:space="0"/>
          <w:right w:val="single" w:color="99D0DE" w:themeColor="accent5" w:sz="4" w:space="0"/>
        </w:tcBorders>
        <w:shd w:val="clear" w:color="FFFFFF" w:fill="auto"/>
      </w:tcPr>
    </w:tblStylePr>
    <w:tblStylePr w:type="lastCol">
      <w:rPr>
        <w:i/>
        <w:color w:val="266779" w:themeColor="accent5" w:themeShade="95"/>
        <w:sz w:val="22"/>
      </w:rPr>
      <w:tblPr/>
      <w:tcPr>
        <w:tcBorders>
          <w:top w:val="none" w:color="auto" w:sz="0" w:space="0"/>
          <w:left w:val="single" w:color="99D0DE" w:themeColor="accent5" w:sz="4" w:space="0"/>
          <w:bottom w:val="none" w:color="auto" w:sz="0" w:space="0"/>
          <w:right w:val="none" w:color="auto" w:sz="0" w:space="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B15407" w:themeColor="accent6" w:themeShade="95"/>
        <w:sz w:val="22"/>
      </w:rPr>
      <w:tblPr/>
      <w:tcPr>
        <w:tcBorders>
          <w:top w:val="none" w:color="auto" w:sz="0" w:space="0"/>
          <w:left w:val="none" w:color="auto" w:sz="0" w:space="0"/>
          <w:bottom w:val="single" w:color="FAC396" w:themeColor="accent6" w:sz="4" w:space="0"/>
          <w:right w:val="none" w:color="auto" w:sz="0" w:space="0"/>
        </w:tcBorders>
        <w:shd w:val="clear" w:color="FFFFFF" w:fill="FFFFFF" w:themeFill="light1"/>
      </w:tcPr>
    </w:tblStylePr>
    <w:tblStylePr w:type="lastRow">
      <w:rPr>
        <w:b/>
        <w:color w:val="B15407" w:themeColor="accent6" w:themeShade="95"/>
        <w:sz w:val="22"/>
      </w:rPr>
      <w:tblPr/>
      <w:tcPr>
        <w:tcBorders>
          <w:top w:val="single" w:color="FAC396"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15407" w:themeColor="accent6" w:themeShade="95"/>
        <w:sz w:val="22"/>
      </w:rPr>
      <w:tblPr/>
      <w:tcPr>
        <w:tcBorders>
          <w:top w:val="none" w:color="auto" w:sz="0" w:space="0"/>
          <w:left w:val="none" w:color="auto" w:sz="0" w:space="0"/>
          <w:bottom w:val="none" w:color="auto" w:sz="0" w:space="0"/>
          <w:right w:val="single" w:color="FAC396" w:themeColor="accent6" w:sz="4" w:space="0"/>
        </w:tcBorders>
        <w:shd w:val="clear" w:color="FFFFFF" w:fill="auto"/>
      </w:tcPr>
    </w:tblStylePr>
    <w:tblStylePr w:type="lastCol">
      <w:rPr>
        <w:i/>
        <w:color w:val="B15407" w:themeColor="accent6" w:themeShade="95"/>
        <w:sz w:val="22"/>
      </w:rPr>
      <w:tblPr/>
      <w:tcPr>
        <w:tcBorders>
          <w:top w:val="none" w:color="auto" w:sz="0" w:space="0"/>
          <w:left w:val="single" w:color="FAC396" w:themeColor="accent6" w:sz="4" w:space="0"/>
          <w:bottom w:val="none" w:color="auto" w:sz="0" w:space="0"/>
          <w:right w:val="none" w:color="auto" w:sz="0" w:space="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bl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bl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bl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bl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la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la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fir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la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la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la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la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la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000000" w:themeColor="text1" w:sz="4" w:space="0"/>
          <w:right w:val="single" w:color="000000" w:themeColor="text1" w:sz="4" w:space="0"/>
        </w:tcBorders>
      </w:tcPr>
    </w:tblStylePr>
    <w:tblStylePr w:type="band1Horz">
      <w:rPr>
        <w:color w:val="404040"/>
        <w:sz w:val="22"/>
      </w:rPr>
      <w:tblPr/>
      <w:tcPr>
        <w:tcBorders>
          <w:top w:val="single" w:color="000000" w:themeColor="text1" w:sz="4" w:space="0"/>
          <w:bottom w:val="single" w:color="000000" w:themeColor="text1" w:sz="4" w:space="0"/>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4F81BD" w:themeColor="accent1" w:sz="4" w:space="0"/>
          <w:right w:val="single" w:color="4F81BD" w:themeColor="accent1" w:sz="4" w:space="0"/>
        </w:tcBorders>
      </w:tcPr>
    </w:tblStylePr>
    <w:tblStylePr w:type="band1Horz">
      <w:rPr>
        <w:color w:val="404040"/>
        <w:sz w:val="22"/>
      </w:rPr>
      <w:tblPr/>
      <w:tcPr>
        <w:tcBorders>
          <w:top w:val="single" w:color="4F81BD" w:themeColor="accent1" w:sz="4" w:space="0"/>
          <w:bottom w:val="single" w:color="4F81BD" w:themeColor="accent1" w:sz="4" w:space="0"/>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firstRow">
      <w:rPr>
        <w:b/>
        <w:color w:val="FFFFFF"/>
        <w:sz w:val="22"/>
      </w:rPr>
      <w:tblPr/>
      <w:tcPr>
        <w:shd w:val="clear" w:color="D99695" w:fill="D996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D99695" w:themeColor="accent2" w:sz="4" w:space="0"/>
          <w:right w:val="single" w:color="D99695" w:themeColor="accent2" w:sz="4" w:space="0"/>
        </w:tcBorders>
      </w:tcPr>
    </w:tblStylePr>
    <w:tblStylePr w:type="band1Horz">
      <w:rPr>
        <w:color w:val="404040"/>
        <w:sz w:val="22"/>
      </w:rPr>
      <w:tblPr/>
      <w:tcPr>
        <w:tcBorders>
          <w:top w:val="single" w:color="D99695" w:themeColor="accent2" w:sz="4" w:space="0"/>
          <w:bottom w:val="single" w:color="D99695" w:themeColor="accent2" w:sz="4" w:space="0"/>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firstRow">
      <w:rPr>
        <w:b/>
        <w:color w:val="FFFFFF"/>
        <w:sz w:val="22"/>
      </w:rPr>
      <w:tblPr/>
      <w:tcPr>
        <w:shd w:val="clear" w:color="C3D69B" w:fill="C3D69B"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C3D69B" w:themeColor="accent3" w:sz="4" w:space="0"/>
          <w:right w:val="single" w:color="C3D69B" w:themeColor="accent3" w:sz="4" w:space="0"/>
        </w:tcBorders>
      </w:tcPr>
    </w:tblStylePr>
    <w:tblStylePr w:type="band1Horz">
      <w:rPr>
        <w:color w:val="404040"/>
        <w:sz w:val="22"/>
      </w:rPr>
      <w:tblPr/>
      <w:tcPr>
        <w:tcBorders>
          <w:top w:val="single" w:color="C3D69B" w:themeColor="accent3" w:sz="4" w:space="0"/>
          <w:bottom w:val="single" w:color="C3D69B" w:themeColor="accent3" w:sz="4" w:space="0"/>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b/>
        <w:color w:val="FFFFFF"/>
        <w:sz w:val="22"/>
      </w:rPr>
      <w:tblPr/>
      <w:tcPr>
        <w:shd w:val="clear" w:color="B2A1C6"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B2A1C6" w:themeColor="accent4" w:sz="4" w:space="0"/>
          <w:right w:val="single" w:color="B2A1C6" w:themeColor="accent4" w:sz="4" w:space="0"/>
        </w:tcBorders>
      </w:tcPr>
    </w:tblStylePr>
    <w:tblStylePr w:type="band1Horz">
      <w:rPr>
        <w:color w:val="404040"/>
        <w:sz w:val="22"/>
      </w:rPr>
      <w:tblPr/>
      <w:tcPr>
        <w:tcBorders>
          <w:top w:val="single" w:color="B2A1C6" w:themeColor="accent4" w:sz="4" w:space="0"/>
          <w:bottom w:val="single" w:color="B2A1C6" w:themeColor="accent4" w:sz="4" w:space="0"/>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b/>
        <w:color w:val="FFFFFF"/>
        <w:sz w:val="22"/>
      </w:rPr>
      <w:tblPr/>
      <w:tcPr>
        <w:shd w:val="clear" w:color="92CCDC"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92CCDC" w:themeColor="accent5" w:sz="4" w:space="0"/>
          <w:right w:val="single" w:color="92CCDC" w:themeColor="accent5" w:sz="4" w:space="0"/>
        </w:tcBorders>
      </w:tcPr>
    </w:tblStylePr>
    <w:tblStylePr w:type="band1Horz">
      <w:rPr>
        <w:color w:val="404040"/>
        <w:sz w:val="22"/>
      </w:rPr>
      <w:tblPr/>
      <w:tcPr>
        <w:tcBorders>
          <w:top w:val="single" w:color="92CCDC" w:themeColor="accent5" w:sz="4" w:space="0"/>
          <w:bottom w:val="single" w:color="92CCDC" w:themeColor="accent5" w:sz="4" w:space="0"/>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b/>
        <w:color w:val="FFFFFF"/>
        <w:sz w:val="22"/>
      </w:rPr>
      <w:tblPr/>
      <w:tcPr>
        <w:shd w:val="clear" w:color="FAC090"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AC090" w:themeColor="accent6" w:sz="4" w:space="0"/>
          <w:right w:val="single" w:color="FAC090" w:themeColor="accent6" w:sz="4" w:space="0"/>
        </w:tcBorders>
      </w:tcPr>
    </w:tblStylePr>
    <w:tblStylePr w:type="band1Horz">
      <w:rPr>
        <w:color w:val="404040"/>
        <w:sz w:val="22"/>
      </w:rPr>
      <w:tblPr/>
      <w:tcPr>
        <w:tcBorders>
          <w:top w:val="single" w:color="FAC090" w:themeColor="accent6" w:sz="4" w:space="0"/>
          <w:bottom w:val="single" w:color="FAC090" w:themeColor="accent6" w:sz="4" w:space="0"/>
        </w:tcBorders>
      </w:tcPr>
    </w:tblStylePr>
  </w:style>
  <w:style w:type="table" w:styleId="-40">
    <w:name w:val="List Table 4"/>
    <w:basedOn w:val="a1"/>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b/>
        <w:color w:val="FFFFFF"/>
        <w:sz w:val="22"/>
      </w:rPr>
      <w:tblPr/>
      <w:tcPr>
        <w:shd w:val="clear" w:color="000000"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b/>
        <w:color w:val="FFFFFF"/>
        <w:sz w:val="22"/>
      </w:rPr>
      <w:tblPr/>
      <w:tcPr>
        <w:shd w:val="clear" w:color="4F81BD"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firstRow">
      <w:rPr>
        <w:b/>
        <w:color w:val="FFFFFF"/>
        <w:sz w:val="22"/>
      </w:rPr>
      <w:tblPr/>
      <w:tcPr>
        <w:shd w:val="clear" w:color="C0504D"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b/>
        <w:color w:val="FFFFFF"/>
        <w:sz w:val="22"/>
      </w:rPr>
      <w:tblPr/>
      <w:tcPr>
        <w:shd w:val="clear" w:color="9BBB59"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b/>
        <w:color w:val="FFFFFF"/>
        <w:sz w:val="22"/>
      </w:rPr>
      <w:tblPr/>
      <w:tcPr>
        <w:shd w:val="clear" w:color="8064A2"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b/>
        <w:color w:val="FFFFFF"/>
        <w:sz w:val="22"/>
      </w:rPr>
      <w:tblPr/>
      <w:tcPr>
        <w:shd w:val="clear" w:color="4BACC6"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b/>
        <w:color w:val="FFFFFF"/>
        <w:sz w:val="22"/>
      </w:rPr>
      <w:tblPr/>
      <w:tcPr>
        <w:shd w:val="clear" w:color="F7964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firstRow">
      <w:rPr>
        <w:b/>
        <w:color w:val="FFFFFF" w:themeColor="light1"/>
        <w:sz w:val="22"/>
      </w:rPr>
      <w:tblPr/>
      <w:tcPr>
        <w:tcBorders>
          <w:top w:val="single" w:color="7F7F7F" w:themeColor="text1" w:sz="32" w:space="0"/>
          <w:bottom w:val="single" w:color="FFFFFF" w:themeColor="light1" w:sz="12" w:space="0"/>
        </w:tcBorders>
        <w:shd w:val="clear" w:color="7F7F7F" w:fill="7F7F7F" w:themeFill="text1" w:themeFillTint="80"/>
      </w:tcPr>
    </w:tblStylePr>
    <w:tblStylePr w:type="lastRow">
      <w:rPr>
        <w:b/>
        <w:color w:val="FFFFFF" w:themeColor="light1"/>
        <w:sz w:val="22"/>
      </w:rPr>
      <w:tblPr/>
    </w:tblStylePr>
    <w:tblStylePr w:type="firstCol">
      <w:rPr>
        <w:b/>
        <w:color w:val="FFFFFF" w:themeColor="light1"/>
        <w:sz w:val="22"/>
      </w:rPr>
      <w:tblPr/>
      <w:tcPr>
        <w:tcBorders>
          <w:left w:val="single" w:color="7F7F7F" w:themeColor="text1" w:sz="32" w:space="0"/>
          <w:right w:val="single" w:color="FFFFFF" w:themeColor="light1" w:sz="4" w:space="0"/>
        </w:tcBorders>
      </w:tcPr>
    </w:tblStylePr>
    <w:tblStylePr w:type="lastCol">
      <w:tblPr/>
      <w:tcPr>
        <w:tcBorders>
          <w:left w:val="single" w:color="FFFFFF" w:themeColor="light1" w:sz="4" w:space="0"/>
          <w:right w:val="single" w:color="7F7F7F" w:themeColor="text1" w:sz="32" w:space="0"/>
        </w:tcBorders>
      </w:tcPr>
    </w:tblStylePr>
    <w:tblStylePr w:type="band1Vert">
      <w:tblPr/>
      <w:tcPr>
        <w:tcBorders>
          <w:left w:val="single" w:color="FFFFFF" w:themeColor="light1" w:sz="4" w:space="0"/>
          <w:right w:val="single" w:color="FFFFFF" w:themeColor="light1" w:sz="4" w:space="0"/>
        </w:tcBorders>
        <w:shd w:val="clear" w:color="7F7F7F"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F7F7F" w:fill="7F7F7F" w:themeFill="text1" w:themeFillTint="80"/>
      </w:tcPr>
    </w:tblStylePr>
    <w:tblStylePr w:type="band2Horz">
      <w:tblPr/>
      <w:tcPr>
        <w:tcBorders>
          <w:top w:val="single" w:color="FFFFFF" w:themeColor="light1" w:sz="4" w:space="0"/>
          <w:bottom w:val="single" w:color="FFFFFF" w:themeColor="light1" w:sz="4" w:space="0"/>
        </w:tcBorders>
        <w:shd w:val="clear" w:color="7F7F7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b/>
        <w:color w:val="FFFFFF" w:themeColor="light1"/>
        <w:sz w:val="22"/>
      </w:rPr>
      <w:tblPr/>
      <w:tcPr>
        <w:tcBorders>
          <w:top w:val="single" w:color="4F81BD" w:themeColor="accent1" w:sz="32" w:space="0"/>
          <w:bottom w:val="single" w:color="FFFFFF" w:themeColor="light1" w:sz="12" w:space="0"/>
        </w:tcBorders>
        <w:shd w:val="clear" w:color="4F81BD" w:fill="4F81BD" w:themeFill="accent1"/>
      </w:tcPr>
    </w:tblStylePr>
    <w:tblStylePr w:type="lastRow">
      <w:rPr>
        <w:b/>
        <w:color w:val="FFFFFF" w:themeColor="light1"/>
        <w:sz w:val="22"/>
      </w:rPr>
      <w:tblPr/>
    </w:tblStylePr>
    <w:tblStylePr w:type="firstCol">
      <w:rPr>
        <w:b/>
        <w:color w:val="FFFFFF" w:themeColor="light1"/>
        <w:sz w:val="22"/>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fill="4F81BD" w:themeFill="accent1"/>
      </w:tcPr>
    </w:tblStylePr>
    <w:tblStylePr w:type="band2Horz">
      <w:tblPr/>
      <w:tcPr>
        <w:tcBorders>
          <w:top w:val="single" w:color="FFFFFF" w:themeColor="light1" w:sz="4" w:space="0"/>
          <w:bottom w:val="single" w:color="FFFFFF" w:themeColor="light1" w:sz="4" w:space="0"/>
        </w:tcBorders>
        <w:shd w:val="clear" w:color="4F81BD"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tblPr>
    <w:tblStylePr w:type="firstRow">
      <w:rPr>
        <w:b/>
        <w:color w:val="FFFFFF" w:themeColor="light1"/>
        <w:sz w:val="22"/>
      </w:rPr>
      <w:tblPr/>
      <w:tcPr>
        <w:tcBorders>
          <w:top w:val="single" w:color="D99695" w:themeColor="accent2" w:sz="32" w:space="0"/>
          <w:bottom w:val="single" w:color="FFFFFF" w:themeColor="light1" w:sz="12" w:space="0"/>
        </w:tcBorders>
        <w:shd w:val="clear" w:color="D99695" w:fill="D99695" w:themeFill="accent2" w:themeFillTint="97"/>
      </w:tcPr>
    </w:tblStylePr>
    <w:tblStylePr w:type="lastRow">
      <w:rPr>
        <w:b/>
        <w:color w:val="FFFFFF" w:themeColor="light1"/>
        <w:sz w:val="22"/>
      </w:rPr>
      <w:tblPr/>
    </w:tblStylePr>
    <w:tblStylePr w:type="firstCol">
      <w:rPr>
        <w:b/>
        <w:color w:val="FFFFFF" w:themeColor="light1"/>
        <w:sz w:val="22"/>
      </w:rPr>
      <w:tblPr/>
      <w:tcPr>
        <w:tcBorders>
          <w:left w:val="single" w:color="D99695" w:themeColor="accent2" w:sz="32" w:space="0"/>
          <w:right w:val="single" w:color="FFFFFF" w:themeColor="light1" w:sz="4" w:space="0"/>
        </w:tcBorders>
      </w:tcPr>
    </w:tblStylePr>
    <w:tblStylePr w:type="lastCol">
      <w:tblPr/>
      <w:tcPr>
        <w:tcBorders>
          <w:left w:val="single" w:color="FFFFFF" w:themeColor="light1" w:sz="4" w:space="0"/>
          <w:right w:val="single" w:color="D99695" w:themeColor="accent2" w:sz="32" w:space="0"/>
        </w:tcBorders>
      </w:tcPr>
    </w:tblStylePr>
    <w:tblStylePr w:type="band1Vert">
      <w:tblPr/>
      <w:tcPr>
        <w:tcBorders>
          <w:left w:val="single" w:color="FFFFFF" w:themeColor="light1" w:sz="4" w:space="0"/>
          <w:right w:val="single" w:color="FFFFFF" w:themeColor="light1" w:sz="4" w:space="0"/>
        </w:tcBorders>
        <w:shd w:val="clear" w:color="D99695" w:fill="D996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695" w:fill="D99695" w:themeFill="accent2" w:themeFillTint="97"/>
      </w:tcPr>
    </w:tblStylePr>
    <w:tblStylePr w:type="band2Horz">
      <w:tblPr/>
      <w:tcPr>
        <w:tcBorders>
          <w:top w:val="single" w:color="FFFFFF" w:themeColor="light1" w:sz="4" w:space="0"/>
          <w:bottom w:val="single" w:color="FFFFFF" w:themeColor="light1" w:sz="4" w:space="0"/>
        </w:tcBorders>
        <w:shd w:val="clear" w:color="D99695"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tblPr>
    <w:tblStylePr w:type="firstRow">
      <w:rPr>
        <w:b/>
        <w:color w:val="FFFFFF" w:themeColor="light1"/>
        <w:sz w:val="22"/>
      </w:rPr>
      <w:tblPr/>
      <w:tcPr>
        <w:tcBorders>
          <w:top w:val="single" w:color="C3D69B" w:themeColor="accent3" w:sz="32" w:space="0"/>
          <w:bottom w:val="single" w:color="FFFFFF" w:themeColor="light1" w:sz="12" w:space="0"/>
        </w:tcBorders>
        <w:shd w:val="clear" w:color="C3D69B" w:fill="C3D69B" w:themeFill="accent3" w:themeFillTint="98"/>
      </w:tcPr>
    </w:tblStylePr>
    <w:tblStylePr w:type="lastRow">
      <w:rPr>
        <w:b/>
        <w:color w:val="FFFFFF" w:themeColor="light1"/>
        <w:sz w:val="22"/>
      </w:rPr>
      <w:tblPr/>
    </w:tblStylePr>
    <w:tblStylePr w:type="firstCol">
      <w:rPr>
        <w:b/>
        <w:color w:val="FFFFFF" w:themeColor="light1"/>
        <w:sz w:val="22"/>
      </w:rPr>
      <w:tblPr/>
      <w:tcPr>
        <w:tcBorders>
          <w:left w:val="single" w:color="C3D69B" w:themeColor="accent3" w:sz="32" w:space="0"/>
          <w:right w:val="single" w:color="FFFFFF" w:themeColor="light1" w:sz="4" w:space="0"/>
        </w:tcBorders>
      </w:tcPr>
    </w:tblStylePr>
    <w:tblStylePr w:type="lastCol">
      <w:tblPr/>
      <w:tcPr>
        <w:tcBorders>
          <w:left w:val="single" w:color="FFFFFF" w:themeColor="light1" w:sz="4" w:space="0"/>
          <w:right w:val="single" w:color="C3D69B" w:themeColor="accent3" w:sz="32" w:space="0"/>
        </w:tcBorders>
      </w:tcPr>
    </w:tblStylePr>
    <w:tblStylePr w:type="band1Vert">
      <w:tblPr/>
      <w:tcPr>
        <w:tcBorders>
          <w:left w:val="single" w:color="FFFFFF" w:themeColor="light1" w:sz="4" w:space="0"/>
          <w:right w:val="single" w:color="FFFFFF" w:themeColor="light1" w:sz="4" w:space="0"/>
        </w:tcBorders>
        <w:shd w:val="clear" w:color="C3D69B" w:fill="C3D69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B" w:fill="C3D69B" w:themeFill="accent3" w:themeFillTint="98"/>
      </w:tcPr>
    </w:tblStylePr>
    <w:tblStylePr w:type="band2Horz">
      <w:tblPr/>
      <w:tcPr>
        <w:tcBorders>
          <w:top w:val="single" w:color="FFFFFF" w:themeColor="light1" w:sz="4" w:space="0"/>
          <w:bottom w:val="single" w:color="FFFFFF" w:themeColor="light1" w:sz="4" w:space="0"/>
        </w:tcBorders>
        <w:shd w:val="clear" w:color="C3D69B"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b/>
        <w:color w:val="FFFFFF" w:themeColor="light1"/>
        <w:sz w:val="22"/>
      </w:rPr>
      <w:tblPr/>
      <w:tcPr>
        <w:tcBorders>
          <w:top w:val="single" w:color="B2A1C6" w:themeColor="accent4" w:sz="32" w:space="0"/>
          <w:bottom w:val="single" w:color="FFFFFF" w:themeColor="light1" w:sz="12" w:space="0"/>
        </w:tcBorders>
        <w:shd w:val="clear" w:color="B2A1C6" w:fill="B2A1C6" w:themeFill="accent4" w:themeFillTint="9a"/>
      </w:tcPr>
    </w:tblStylePr>
    <w:tblStylePr w:type="lastRow">
      <w:rPr>
        <w:b/>
        <w:color w:val="FFFFFF" w:themeColor="light1"/>
        <w:sz w:val="22"/>
      </w:rPr>
      <w:tblPr/>
    </w:tblStylePr>
    <w:tblStylePr w:type="firstCol">
      <w:rPr>
        <w:b/>
        <w:color w:val="FFFFFF" w:themeColor="light1"/>
        <w:sz w:val="22"/>
      </w:rPr>
      <w:tblPr/>
      <w:tcPr>
        <w:tcBorders>
          <w:left w:val="single" w:color="B2A1C6" w:themeColor="accent4" w:sz="32" w:space="0"/>
          <w:right w:val="single" w:color="FFFFFF" w:themeColor="light1" w:sz="4" w:space="0"/>
        </w:tcBorders>
      </w:tcPr>
    </w:tblStylePr>
    <w:tblStylePr w:type="lastCol">
      <w:tblPr/>
      <w:tcPr>
        <w:tcBorders>
          <w:left w:val="single" w:color="FFFFFF" w:themeColor="light1" w:sz="4" w:space="0"/>
          <w:right w:val="single" w:color="B2A1C6" w:themeColor="accent4" w:sz="32" w:space="0"/>
        </w:tcBorders>
      </w:tcPr>
    </w:tblStylePr>
    <w:tblStylePr w:type="band1Vert">
      <w:tblPr/>
      <w:tcPr>
        <w:tcBorders>
          <w:left w:val="single" w:color="FFFFFF" w:themeColor="light1" w:sz="4" w:space="0"/>
          <w:right w:val="single" w:color="FFFFFF" w:themeColor="light1" w:sz="4" w:space="0"/>
        </w:tcBorders>
        <w:shd w:val="clear" w:color="B2A1C6"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b/>
        <w:color w:val="FFFFFF" w:themeColor="light1"/>
        <w:sz w:val="22"/>
      </w:rPr>
      <w:tblPr/>
      <w:tcPr>
        <w:tcBorders>
          <w:top w:val="single" w:color="92CCDC" w:themeColor="accent5" w:sz="32" w:space="0"/>
          <w:bottom w:val="single" w:color="FFFFFF" w:themeColor="light1" w:sz="12" w:space="0"/>
        </w:tcBorders>
        <w:shd w:val="clear" w:color="92CCDC" w:fill="92CCDC" w:themeFill="accent5" w:themeFillTint="9a"/>
      </w:tcPr>
    </w:tblStylePr>
    <w:tblStylePr w:type="lastRow">
      <w:rPr>
        <w:b/>
        <w:color w:val="FFFFFF" w:themeColor="light1"/>
        <w:sz w:val="22"/>
      </w:rPr>
      <w:tblPr/>
    </w:tblStylePr>
    <w:tblStylePr w:type="firstCol">
      <w:rPr>
        <w:b/>
        <w:color w:val="FFFFFF" w:themeColor="light1"/>
        <w:sz w:val="22"/>
      </w:rPr>
      <w:tblPr/>
      <w:tcPr>
        <w:tcBorders>
          <w:left w:val="single" w:color="92CCDC" w:themeColor="accent5" w:sz="32" w:space="0"/>
          <w:right w:val="single" w:color="FFFFFF" w:themeColor="light1" w:sz="4" w:space="0"/>
        </w:tcBorders>
      </w:tcPr>
    </w:tblStylePr>
    <w:tblStylePr w:type="lastCol">
      <w:tblPr/>
      <w:tcPr>
        <w:tcBorders>
          <w:left w:val="single" w:color="FFFFFF" w:themeColor="light1" w:sz="4" w:space="0"/>
          <w:right w:val="single" w:color="92CCDC" w:themeColor="accent5" w:sz="32" w:space="0"/>
        </w:tcBorders>
      </w:tcPr>
    </w:tblStylePr>
    <w:tblStylePr w:type="band1Vert">
      <w:tblPr/>
      <w:tcPr>
        <w:tcBorders>
          <w:left w:val="single" w:color="FFFFFF" w:themeColor="light1" w:sz="4" w:space="0"/>
          <w:right w:val="single" w:color="FFFFFF" w:themeColor="light1" w:sz="4" w:space="0"/>
        </w:tcBorders>
        <w:shd w:val="clear" w:color="92CCDC"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b/>
        <w:color w:val="FFFFFF" w:themeColor="light1"/>
        <w:sz w:val="22"/>
      </w:rPr>
      <w:tblPr/>
      <w:tcPr>
        <w:tcBorders>
          <w:top w:val="single" w:color="FAC090" w:themeColor="accent6" w:sz="32" w:space="0"/>
          <w:bottom w:val="single" w:color="FFFFFF" w:themeColor="light1" w:sz="12" w:space="0"/>
        </w:tcBorders>
        <w:shd w:val="clear" w:color="FAC090" w:fill="FAC090" w:themeFill="accent6" w:themeFillTint="98"/>
      </w:tcPr>
    </w:tblStylePr>
    <w:tblStylePr w:type="lastRow">
      <w:rPr>
        <w:b/>
        <w:color w:val="FFFFFF" w:themeColor="light1"/>
        <w:sz w:val="22"/>
      </w:rPr>
      <w:tblPr/>
    </w:tblStylePr>
    <w:tblStylePr w:type="firstCol">
      <w:rPr>
        <w:b/>
        <w:color w:val="FFFFFF" w:themeColor="light1"/>
        <w:sz w:val="22"/>
      </w:rPr>
      <w:tblPr/>
      <w:tcPr>
        <w:tcBorders>
          <w:left w:val="single" w:color="FAC090" w:themeColor="accent6" w:sz="32" w:space="0"/>
          <w:right w:val="single" w:color="FFFFFF" w:themeColor="light1" w:sz="4" w:space="0"/>
        </w:tcBorders>
      </w:tcPr>
    </w:tblStylePr>
    <w:tblStylePr w:type="lastCol">
      <w:tblPr/>
      <w:tcPr>
        <w:tcBorders>
          <w:left w:val="single" w:color="FFFFFF" w:themeColor="light1" w:sz="4" w:space="0"/>
          <w:right w:val="single" w:color="FAC090" w:themeColor="accent6" w:sz="32" w:space="0"/>
        </w:tcBorders>
      </w:tcPr>
    </w:tblStylePr>
    <w:tblStylePr w:type="band1Vert">
      <w:tblPr/>
      <w:tcPr>
        <w:tcBorders>
          <w:left w:val="single" w:color="FFFFFF" w:themeColor="light1" w:sz="4" w:space="0"/>
          <w:right w:val="single" w:color="FFFFFF" w:themeColor="light1" w:sz="4" w:space="0"/>
        </w:tcBorders>
        <w:shd w:val="clear" w:color="FAC090"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sz="4" w:space="0"/>
        </w:tcBorders>
      </w:tcPr>
    </w:tblStylePr>
    <w:tblStylePr w:type="lastRow">
      <w:rPr>
        <w:b/>
        <w:color w:val="000000" w:themeColor="text1"/>
      </w:rPr>
      <w:tblPr/>
      <w:tcPr>
        <w:tcBorders>
          <w:top w:val="single" w:color="7F7F7F" w:themeColor="text1"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blPr/>
      <w:tcPr>
        <w:tcBorders>
          <w:bottom w:val="single" w:color="4F81BD" w:themeColor="accent1" w:sz="4" w:space="0"/>
        </w:tcBorders>
      </w:tcPr>
    </w:tblStylePr>
    <w:tblStylePr w:type="lastRow">
      <w:rPr>
        <w:b/>
        <w:color w:val="2A4A71" w:themeColor="accent1" w:themeShade="95"/>
      </w:rPr>
      <w:tblPr/>
      <w:tcPr>
        <w:tcBorders>
          <w:top w:val="single" w:color="4F81BD" w:themeColor="accent1" w:sz="4" w:space="0"/>
        </w:tcBorders>
      </w:tcPr>
    </w:tblStylePr>
    <w:tblStylePr w:type="firstCol">
      <w:rPr>
        <w:b/>
        <w:color w:val="2A4A71" w:themeColor="accent1" w:themeShade="95"/>
      </w:rPr>
      <w:tblPr/>
    </w:tblStylePr>
    <w:tblStylePr w:type="lastCol">
      <w:rPr>
        <w:b/>
        <w:color w:val="2A4A71" w:themeColor="accent1" w:themeShade="95"/>
      </w:rPr>
      <w:tbl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firstRow">
      <w:rPr>
        <w:b/>
        <w:color w:val="D99695" w:themeColor="accent2" w:themeTint="97" w:themeShade="95"/>
      </w:rPr>
      <w:tblPr/>
      <w:tcPr>
        <w:tcBorders>
          <w:bottom w:val="single" w:color="D99695" w:themeColor="accent2" w:sz="4" w:space="0"/>
        </w:tcBorders>
      </w:tcPr>
    </w:tblStylePr>
    <w:tblStylePr w:type="lastRow">
      <w:rPr>
        <w:b/>
        <w:color w:val="D99695" w:themeColor="accent2" w:themeTint="97" w:themeShade="95"/>
      </w:rPr>
      <w:tblPr/>
      <w:tcPr>
        <w:tcBorders>
          <w:top w:val="single" w:color="D99695" w:themeColor="accent2" w:sz="4" w:space="0"/>
        </w:tcBorders>
      </w:tc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firstRow">
      <w:rPr>
        <w:b/>
        <w:color w:val="C3D69B" w:themeColor="accent3" w:themeTint="98" w:themeShade="95"/>
      </w:rPr>
      <w:tblPr/>
      <w:tcPr>
        <w:tcBorders>
          <w:bottom w:val="single" w:color="C3D69B" w:themeColor="accent3" w:sz="4" w:space="0"/>
        </w:tcBorders>
      </w:tcPr>
    </w:tblStylePr>
    <w:tblStylePr w:type="lastRow">
      <w:rPr>
        <w:b/>
        <w:color w:val="C3D69B" w:themeColor="accent3" w:themeTint="98" w:themeShade="95"/>
      </w:rPr>
      <w:tblPr/>
      <w:tcPr>
        <w:tcBorders>
          <w:top w:val="single" w:color="C3D69B" w:themeColor="accent3" w:sz="4" w:space="0"/>
        </w:tcBorders>
      </w:tcPr>
    </w:tblStylePr>
    <w:tblStylePr w:type="firstCol">
      <w:rPr>
        <w:b/>
        <w:color w:val="C3D69B" w:themeColor="accent3" w:themeTint="98" w:themeShade="95"/>
      </w:rPr>
      <w:tblPr/>
    </w:tblStylePr>
    <w:tblStylePr w:type="lastCol">
      <w:rPr>
        <w:b/>
        <w:color w:val="C3D69B" w:themeColor="accent3" w:themeTint="98" w:themeShade="95"/>
      </w:rPr>
      <w:tbl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firstRow">
      <w:rPr>
        <w:b/>
        <w:color w:val="B2A1C6" w:themeColor="accent4" w:themeTint="9a" w:themeShade="95"/>
      </w:rPr>
      <w:tblPr/>
      <w:tcPr>
        <w:tcBorders>
          <w:bottom w:val="single" w:color="B2A1C6" w:themeColor="accent4" w:sz="4" w:space="0"/>
        </w:tcBorders>
      </w:tcPr>
    </w:tblStylePr>
    <w:tblStylePr w:type="lastRow">
      <w:rPr>
        <w:b/>
        <w:color w:val="B2A1C6" w:themeColor="accent4" w:themeTint="9a" w:themeShade="95"/>
      </w:rPr>
      <w:tblPr/>
      <w:tcPr>
        <w:tcBorders>
          <w:top w:val="single" w:color="B2A1C6" w:themeColor="accent4" w:sz="4" w:space="0"/>
        </w:tcBorders>
      </w:tc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firstRow">
      <w:rPr>
        <w:b/>
        <w:color w:val="92CCDC" w:themeColor="accent5" w:themeTint="9a" w:themeShade="95"/>
      </w:rPr>
      <w:tblPr/>
      <w:tcPr>
        <w:tcBorders>
          <w:bottom w:val="single" w:color="92CCDC" w:themeColor="accent5" w:sz="4" w:space="0"/>
        </w:tcBorders>
      </w:tcPr>
    </w:tblStylePr>
    <w:tblStylePr w:type="lastRow">
      <w:rPr>
        <w:b/>
        <w:color w:val="92CCDC" w:themeColor="accent5" w:themeTint="9a" w:themeShade="95"/>
      </w:rPr>
      <w:tblPr/>
      <w:tcPr>
        <w:tcBorders>
          <w:top w:val="single" w:color="92CCDC" w:themeColor="accent5" w:sz="4" w:space="0"/>
        </w:tcBorders>
      </w:tcPr>
    </w:tblStylePr>
    <w:tblStylePr w:type="firstCol">
      <w:rPr>
        <w:b/>
        <w:color w:val="92CCDC" w:themeColor="accent5" w:themeTint="9a" w:themeShade="95"/>
      </w:rPr>
      <w:tblPr/>
    </w:tblStylePr>
    <w:tblStylePr w:type="lastCol">
      <w:rPr>
        <w:b/>
        <w:color w:val="92CCDC" w:themeColor="accent5" w:themeTint="9a" w:themeShade="95"/>
      </w:rPr>
      <w:tbl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firstRow">
      <w:rPr>
        <w:b/>
        <w:color w:val="FAC090" w:themeColor="accent6" w:themeTint="98" w:themeShade="95"/>
      </w:rPr>
      <w:tblPr/>
      <w:tcPr>
        <w:tcBorders>
          <w:bottom w:val="single" w:color="FAC090" w:themeColor="accent6" w:sz="4" w:space="0"/>
        </w:tcBorders>
      </w:tcPr>
    </w:tblStylePr>
    <w:tblStylePr w:type="lastRow">
      <w:rPr>
        <w:b/>
        <w:color w:val="FAC090" w:themeColor="accent6" w:themeTint="98" w:themeShade="95"/>
      </w:rPr>
      <w:tblPr/>
      <w:tcPr>
        <w:tcBorders>
          <w:top w:val="single" w:color="FAC090" w:themeColor="accent6" w:sz="4" w:space="0"/>
        </w:tcBorders>
      </w:tcPr>
    </w:tblStylePr>
    <w:tblStylePr w:type="firstCol">
      <w:rPr>
        <w:b/>
        <w:color w:val="FAC090" w:themeColor="accent6" w:themeTint="98" w:themeShade="95"/>
      </w:rPr>
      <w:tblPr/>
    </w:tblStylePr>
    <w:tblStylePr w:type="lastCol">
      <w:rPr>
        <w:b/>
        <w:color w:val="FAC090" w:themeColor="accent6" w:themeTint="98" w:themeShade="95"/>
      </w:rPr>
      <w:tbl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styleId="-70">
    <w:name w:val="List Table 7 Colorful"/>
    <w:basedOn w:val="a1"/>
    <w:uiPriority w:val="99"/>
    <w:pPr>
      <w:spacing w:after="0" w:line="240" w:lineRule="auto"/>
    </w:pPr>
    <w:tblPr>
      <w:tblStyleRowBandSize w:val="1"/>
      <w:tblStyleColBandSize w:val="1"/>
      <w:tblBorders>
        <w:right w:val="single" w:color="7F7F7F" w:themeColor="text1" w:themeTint="80" w:sz="4" w:space="0"/>
      </w:tblBorders>
    </w:tblPr>
    <w:tblStylePr w:type="firstRow">
      <w:rPr>
        <w:i/>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FFFFFF" w:fill="FFFFFF" w:themeFill="light1"/>
      </w:tcPr>
    </w:tblStylePr>
    <w:tblStylePr w:type="lastRow">
      <w:rPr>
        <w:i/>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FFFFFF" w:fill="auto"/>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color="4F81BD" w:themeColor="accent1" w:sz="4" w:space="0"/>
      </w:tblBorders>
    </w:tblPr>
    <w:tblStylePr w:type="firstRow">
      <w:rPr>
        <w:i/>
        <w:color w:val="2A4A71" w:themeColor="accent1" w:themeShade="95"/>
        <w:sz w:val="22"/>
      </w:rPr>
      <w:tblPr/>
      <w:tcPr>
        <w:tcBorders>
          <w:top w:val="none" w:color="auto" w:sz="0" w:space="0"/>
          <w:left w:val="none" w:color="auto" w:sz="0" w:space="0"/>
          <w:bottom w:val="single" w:color="4F81BD" w:themeColor="accent1" w:sz="4" w:space="0"/>
          <w:right w:val="none" w:color="auto" w:sz="0" w:space="0"/>
        </w:tcBorders>
        <w:shd w:val="clear" w:color="FFFFFF" w:fill="FFFFFF" w:themeFill="light1"/>
      </w:tcPr>
    </w:tblStylePr>
    <w:tblStylePr w:type="lastRow">
      <w:rPr>
        <w:i/>
        <w:color w:val="2A4A71" w:themeColor="accent1" w:themeShade="95"/>
        <w:sz w:val="22"/>
      </w:rPr>
      <w:tblPr/>
      <w:tcPr>
        <w:tcBorders>
          <w:top w:val="single" w:color="4F81BD" w:themeColor="accent1"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2A4A71" w:themeColor="accent1" w:themeShade="95"/>
        <w:sz w:val="22"/>
      </w:rPr>
      <w:tblPr/>
      <w:tcPr>
        <w:tcBorders>
          <w:top w:val="none" w:color="auto" w:sz="0" w:space="0"/>
          <w:left w:val="none" w:color="auto" w:sz="0" w:space="0"/>
          <w:bottom w:val="none" w:color="auto" w:sz="0" w:space="0"/>
          <w:right w:val="single" w:color="4F81BD" w:themeColor="accent1" w:sz="4" w:space="0"/>
        </w:tcBorders>
        <w:shd w:val="clear" w:color="FFFFFF" w:fill="auto"/>
      </w:tcPr>
    </w:tblStylePr>
    <w:tblStylePr w:type="lastCol">
      <w:rPr>
        <w:i/>
        <w:color w:val="2A4A71" w:themeColor="accent1" w:themeShade="95"/>
        <w:sz w:val="22"/>
      </w:rPr>
      <w:tblPr/>
      <w:tcPr>
        <w:tcBorders>
          <w:top w:val="none" w:color="auto" w:sz="0" w:space="0"/>
          <w:left w:val="single" w:color="4F81BD" w:themeColor="accent1" w:sz="4" w:space="0"/>
          <w:bottom w:val="none" w:color="auto" w:sz="0" w:space="0"/>
          <w:right w:val="none" w:color="auto" w:sz="0" w:space="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color="D99695" w:themeColor="accent2" w:themeTint="97" w:sz="4" w:space="0"/>
      </w:tblBorders>
    </w:tblPr>
    <w:tblStylePr w:type="firstRow">
      <w:rPr>
        <w:i/>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FFFFFF" w:fill="FFFFFF" w:themeFill="light1"/>
      </w:tcPr>
    </w:tblStylePr>
    <w:tblStylePr w:type="lastRow">
      <w:rPr>
        <w:i/>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FFFFFF" w:fill="auto"/>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color="C3D69B" w:themeColor="accent3" w:themeTint="98" w:sz="4" w:space="0"/>
      </w:tblBorders>
    </w:tblPr>
    <w:tblStylePr w:type="firstRow">
      <w:rPr>
        <w:i/>
        <w:color w:val="C3D69B" w:themeColor="accent3" w:themeTint="98" w:themeShade="95"/>
        <w:sz w:val="22"/>
      </w:rPr>
      <w:tblPr/>
      <w:tcPr>
        <w:tcBorders>
          <w:top w:val="none" w:color="auto" w:sz="0" w:space="0"/>
          <w:left w:val="none" w:color="auto" w:sz="0" w:space="0"/>
          <w:bottom w:val="single" w:color="C3D69B" w:themeColor="accent3" w:sz="4" w:space="0"/>
          <w:right w:val="none" w:color="auto" w:sz="0" w:space="0"/>
        </w:tcBorders>
        <w:shd w:val="clear" w:color="FFFFFF" w:fill="FFFFFF" w:themeFill="light1"/>
      </w:tcPr>
    </w:tblStylePr>
    <w:tblStylePr w:type="lastRow">
      <w:rPr>
        <w:i/>
        <w:color w:val="C3D69B" w:themeColor="accent3" w:themeTint="98" w:themeShade="95"/>
        <w:sz w:val="22"/>
      </w:rPr>
      <w:tblPr/>
      <w:tcPr>
        <w:tcBorders>
          <w:top w:val="single" w:color="C3D69B" w:themeColor="accent3"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C3D69B" w:themeColor="accent3" w:themeTint="98" w:themeShade="95"/>
        <w:sz w:val="22"/>
      </w:rPr>
      <w:tblPr/>
      <w:tcPr>
        <w:tcBorders>
          <w:top w:val="none" w:color="auto" w:sz="0" w:space="0"/>
          <w:left w:val="none" w:color="auto" w:sz="0" w:space="0"/>
          <w:bottom w:val="none" w:color="auto" w:sz="0" w:space="0"/>
          <w:right w:val="single" w:color="C3D69B" w:themeColor="accent3" w:sz="4" w:space="0"/>
        </w:tcBorders>
        <w:shd w:val="clear" w:color="FFFFFF" w:fill="auto"/>
      </w:tcPr>
    </w:tblStylePr>
    <w:tblStylePr w:type="lastCol">
      <w:rPr>
        <w:i/>
        <w:color w:val="C3D69B" w:themeColor="accent3" w:themeTint="98" w:themeShade="95"/>
        <w:sz w:val="22"/>
      </w:rPr>
      <w:tblPr/>
      <w:tcPr>
        <w:tcBorders>
          <w:top w:val="none" w:color="auto" w:sz="0" w:space="0"/>
          <w:left w:val="single" w:color="C3D69B" w:themeColor="accent3" w:sz="4" w:space="0"/>
          <w:bottom w:val="none" w:color="auto" w:sz="0" w:space="0"/>
          <w:right w:val="none" w:color="auto" w:sz="0" w:space="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color="B2A1C6" w:themeColor="accent4" w:themeTint="9a" w:sz="4" w:space="0"/>
      </w:tblBorders>
    </w:tblPr>
    <w:tblStylePr w:type="firstRow">
      <w:rPr>
        <w:i/>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FFFFFF" w:fill="FFFFFF" w:themeFill="light1"/>
      </w:tcPr>
    </w:tblStylePr>
    <w:tblStylePr w:type="lastRow">
      <w:rPr>
        <w:i/>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FFFFFF" w:fill="auto"/>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color="92CCDC" w:themeColor="accent5" w:themeTint="9a" w:sz="4" w:space="0"/>
      </w:tblBorders>
    </w:tblPr>
    <w:tblStylePr w:type="firstRow">
      <w:rPr>
        <w:i/>
        <w:color w:val="92CCDC" w:themeColor="accent5" w:themeTint="9a" w:themeShade="95"/>
        <w:sz w:val="22"/>
      </w:rPr>
      <w:tblPr/>
      <w:tcPr>
        <w:tcBorders>
          <w:top w:val="none" w:color="auto" w:sz="0" w:space="0"/>
          <w:left w:val="none" w:color="auto" w:sz="0" w:space="0"/>
          <w:bottom w:val="single" w:color="92CCDC" w:themeColor="accent5" w:sz="4" w:space="0"/>
          <w:right w:val="none" w:color="auto" w:sz="0" w:space="0"/>
        </w:tcBorders>
        <w:shd w:val="clear" w:color="FFFFFF" w:fill="FFFFFF" w:themeFill="light1"/>
      </w:tcPr>
    </w:tblStylePr>
    <w:tblStylePr w:type="lastRow">
      <w:rPr>
        <w:i/>
        <w:color w:val="92CCDC" w:themeColor="accent5" w:themeTint="9a" w:themeShade="95"/>
        <w:sz w:val="22"/>
      </w:rPr>
      <w:tblPr/>
      <w:tcPr>
        <w:tcBorders>
          <w:top w:val="single" w:color="92CCDC" w:themeColor="accent5"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92CCDC" w:themeColor="accent5" w:themeTint="9a" w:themeShade="95"/>
        <w:sz w:val="22"/>
      </w:rPr>
      <w:tblPr/>
      <w:tcPr>
        <w:tcBorders>
          <w:top w:val="none" w:color="auto" w:sz="0" w:space="0"/>
          <w:left w:val="none" w:color="auto" w:sz="0" w:space="0"/>
          <w:bottom w:val="none" w:color="auto" w:sz="0" w:space="0"/>
          <w:right w:val="single" w:color="92CCDC" w:themeColor="accent5" w:sz="4" w:space="0"/>
        </w:tcBorders>
        <w:shd w:val="clear" w:color="FFFFFF" w:fill="auto"/>
      </w:tcPr>
    </w:tblStylePr>
    <w:tblStylePr w:type="lastCol">
      <w:rPr>
        <w:i/>
        <w:color w:val="92CCDC" w:themeColor="accent5" w:themeTint="9a" w:themeShade="95"/>
        <w:sz w:val="22"/>
      </w:rPr>
      <w:tblPr/>
      <w:tcPr>
        <w:tcBorders>
          <w:top w:val="none" w:color="auto" w:sz="0" w:space="0"/>
          <w:left w:val="single" w:color="92CCDC" w:themeColor="accent5" w:sz="4" w:space="0"/>
          <w:bottom w:val="none" w:color="auto" w:sz="0" w:space="0"/>
          <w:right w:val="none" w:color="auto" w:sz="0" w:space="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color="FAC090" w:themeColor="accent6" w:themeTint="98" w:sz="4" w:space="0"/>
      </w:tblBorders>
    </w:tblPr>
    <w:tblStylePr w:type="firstRow">
      <w:rPr>
        <w:i/>
        <w:color w:val="FAC090" w:themeColor="accent6" w:themeTint="98" w:themeShade="95"/>
        <w:sz w:val="22"/>
      </w:rPr>
      <w:tblPr/>
      <w:tcPr>
        <w:tcBorders>
          <w:top w:val="none" w:color="auto" w:sz="0" w:space="0"/>
          <w:left w:val="none" w:color="auto" w:sz="0" w:space="0"/>
          <w:bottom w:val="single" w:color="FAC090" w:themeColor="accent6" w:sz="4" w:space="0"/>
          <w:right w:val="none" w:color="auto" w:sz="0" w:space="0"/>
        </w:tcBorders>
        <w:shd w:val="clear" w:color="FFFFFF" w:fill="FFFFFF" w:themeFill="light1"/>
      </w:tcPr>
    </w:tblStylePr>
    <w:tblStylePr w:type="lastRow">
      <w:rPr>
        <w:i/>
        <w:color w:val="FAC090" w:themeColor="accent6" w:themeTint="98" w:themeShade="95"/>
        <w:sz w:val="22"/>
      </w:rPr>
      <w:tblPr/>
      <w:tcPr>
        <w:tcBorders>
          <w:top w:val="single" w:color="FAC090" w:themeColor="accent6" w:sz="4" w:space="0"/>
          <w:left w:val="none" w:color="auto" w:sz="0" w:space="0"/>
          <w:bottom w:val="none" w:color="auto" w:sz="0" w:space="0"/>
          <w:right w:val="none" w:color="auto" w:sz="0" w:space="0"/>
        </w:tcBorders>
        <w:shd w:val="clear" w:color="FFFFFF" w:fill="FFFFFF" w:themeFill="light1"/>
      </w:tcPr>
    </w:tblStylePr>
    <w:tblStylePr w:type="firstCol">
      <w:pPr>
        <w:jc w:val="right"/>
      </w:pPr>
      <w:rPr>
        <w:i/>
        <w:color w:val="FAC090" w:themeColor="accent6" w:themeTint="98" w:themeShade="95"/>
        <w:sz w:val="22"/>
      </w:rPr>
      <w:tblPr/>
      <w:tcPr>
        <w:tcBorders>
          <w:top w:val="none" w:color="auto" w:sz="0" w:space="0"/>
          <w:left w:val="none" w:color="auto" w:sz="0" w:space="0"/>
          <w:bottom w:val="none" w:color="auto" w:sz="0" w:space="0"/>
          <w:right w:val="single" w:color="FAC090" w:themeColor="accent6" w:sz="4" w:space="0"/>
        </w:tcBorders>
        <w:shd w:val="clear" w:color="FFFFFF" w:fill="auto"/>
      </w:tcPr>
    </w:tblStylePr>
    <w:tblStylePr w:type="lastCol">
      <w:rPr>
        <w:i/>
        <w:color w:val="FAC090" w:themeColor="accent6" w:themeTint="98" w:themeShade="95"/>
        <w:sz w:val="22"/>
      </w:rPr>
      <w:tblPr/>
      <w:tcPr>
        <w:tcBorders>
          <w:top w:val="none" w:color="auto" w:sz="0" w:space="0"/>
          <w:left w:val="single" w:color="FAC090" w:themeColor="accent6" w:sz="4" w:space="0"/>
          <w:bottom w:val="none" w:color="auto" w:sz="0" w:space="0"/>
          <w:right w:val="none" w:color="auto" w:sz="0" w:space="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Pr/>
    </w:tblStylePr>
  </w:style>
  <w:style w:type="table" w:customStyle="1" w:styleId="Lined-Accent">
    <w:name w:val="Lined - Accent"/>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Lined-Accent1">
    <w:name w:val="Lined - Accent 1"/>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pPr>
      <w:spacing w:after="0" w:line="240" w:lineRule="auto"/>
    </w:pPr>
    <w:rPr>
      <w:lang w:eastAsia="ru-RU"/>
      <w:color w:val="404040"/>
      <w:sz w:val="20"/>
      <w:szCs w:val="20"/>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pPr>
      <w:spacing w:after="0" w:line="240" w:lineRule="auto"/>
    </w:pPr>
    <w:rPr>
      <w:lang w:eastAsia="ru-RU"/>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Pr/>
    </w:tblStylePr>
    <w:tblStylePr w:type="band2Vert">
      <w:rPr>
        <w:color w:val="404040"/>
        <w:sz w:val="22"/>
      </w:rPr>
      <w:tblPr/>
      <w:tcPr>
        <w:shd w:val="clear" w:color="F2F2F2" w:fill="F2F2F2" w:themeFill="text1" w:themeFillTint="d"/>
      </w:tcPr>
    </w:tblStylePr>
    <w:tblStylePr w:type="band1Horz">
      <w:rPr>
        <w:color w:val="404040"/>
        <w:sz w:val="22"/>
      </w:rPr>
      <w:tblPr/>
    </w:tblStylePr>
    <w:tblStylePr w:type="band2Horz">
      <w:rPr>
        <w:color w:val="404040"/>
        <w:sz w:val="22"/>
      </w:rPr>
      <w:tblPr/>
      <w:tcPr>
        <w:shd w:val="clear" w:color="F2F2F2" w:fill="F2F2F2" w:themeFill="text1" w:themeFillTint="d"/>
      </w:tcPr>
    </w:tblStylePr>
  </w:style>
  <w:style w:type="table" w:customStyle="1" w:styleId="BorderedLined-Accent1">
    <w:name w:val="Bordered &amp; Lined - Accent 1"/>
    <w:basedOn w:val="a1"/>
    <w:uiPriority w:val="99"/>
    <w:pPr>
      <w:spacing w:after="0" w:line="240" w:lineRule="auto"/>
    </w:pPr>
    <w:rPr>
      <w:lang w:eastAsia="ru-RU"/>
      <w:color w:val="404040"/>
      <w:sz w:val="20"/>
      <w:szCs w:val="20"/>
    </w:rPr>
    <w:tblPr>
      <w:tblStyleRowBandSize w:val="1"/>
      <w:tblStyleColBandSize w:val="1"/>
      <w:tblBorders>
        <w:top w:val="single" w:color="2A4A71" w:themeColor="accent1" w:sz="4" w:space="0"/>
        <w:left w:val="single" w:color="2A4A71" w:themeColor="accent1" w:sz="4" w:space="0"/>
        <w:bottom w:val="single" w:color="2A4A71" w:themeColor="accent1" w:sz="4" w:space="0"/>
        <w:right w:val="single" w:color="2A4A71" w:themeColor="accent1" w:sz="4" w:space="0"/>
        <w:insideH w:val="single" w:color="2A4A71" w:themeColor="accent1" w:sz="4" w:space="0"/>
        <w:insideV w:val="single" w:color="2A4A71" w:themeColor="accent1" w:sz="4" w:space="0"/>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Pr/>
    </w:tblStylePr>
    <w:tblStylePr w:type="band2Vert">
      <w:rPr>
        <w:color w:val="404040"/>
        <w:sz w:val="22"/>
      </w:rPr>
      <w:tblPr/>
      <w:tcPr>
        <w:shd w:val="clear" w:color="C7D7EA" w:fill="C7D7EA" w:themeFill="accent1" w:themeFillTint="50"/>
      </w:tcPr>
    </w:tblStylePr>
    <w:tblStylePr w:type="band1Horz">
      <w:rPr>
        <w:color w:val="404040"/>
        <w:sz w:val="22"/>
      </w:rPr>
      <w:tbl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pPr>
      <w:spacing w:after="0" w:line="240" w:lineRule="auto"/>
    </w:pPr>
    <w:rPr>
      <w:lang w:eastAsia="ru-RU"/>
      <w:color w:val="404040"/>
      <w:sz w:val="20"/>
      <w:szCs w:val="20"/>
    </w:rPr>
    <w:tblPr>
      <w:tblStyleRowBandSize w:val="1"/>
      <w:tblStyleColBandSize w:val="1"/>
      <w:tblBorders>
        <w:top w:val="single" w:color="732A29" w:themeColor="accent2" w:sz="4" w:space="0"/>
        <w:left w:val="single" w:color="732A29" w:themeColor="accent2" w:sz="4" w:space="0"/>
        <w:bottom w:val="single" w:color="732A29" w:themeColor="accent2" w:sz="4" w:space="0"/>
        <w:right w:val="single" w:color="732A29" w:themeColor="accent2" w:sz="4" w:space="0"/>
        <w:insideH w:val="single" w:color="732A29" w:themeColor="accent2" w:sz="4" w:space="0"/>
        <w:insideV w:val="single" w:color="732A29" w:themeColor="accent2" w:sz="4" w:space="0"/>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Pr/>
    </w:tblStylePr>
    <w:tblStylePr w:type="band2Vert">
      <w:rPr>
        <w:color w:val="404040"/>
        <w:sz w:val="22"/>
      </w:rPr>
      <w:tblPr/>
      <w:tcPr>
        <w:shd w:val="clear" w:color="F2DCDC" w:fill="F2DCDC" w:themeFill="accent2" w:themeFillTint="32"/>
      </w:tcPr>
    </w:tblStylePr>
    <w:tblStylePr w:type="band1Horz">
      <w:rPr>
        <w:color w:val="404040"/>
        <w:sz w:val="22"/>
      </w:rPr>
      <w:tbl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pPr>
      <w:spacing w:after="0" w:line="240" w:lineRule="auto"/>
    </w:pPr>
    <w:rPr>
      <w:lang w:eastAsia="ru-RU"/>
      <w:color w:val="404040"/>
      <w:sz w:val="20"/>
      <w:szCs w:val="20"/>
    </w:rPr>
    <w:tblPr>
      <w:tblStyleRowBandSize w:val="1"/>
      <w:tblStyleColBandSize w:val="1"/>
      <w:tblBorders>
        <w:top w:val="single" w:color="5B722E" w:themeColor="accent3" w:sz="4" w:space="0"/>
        <w:left w:val="single" w:color="5B722E" w:themeColor="accent3" w:sz="4" w:space="0"/>
        <w:bottom w:val="single" w:color="5B722E" w:themeColor="accent3" w:sz="4" w:space="0"/>
        <w:right w:val="single" w:color="5B722E" w:themeColor="accent3" w:sz="4" w:space="0"/>
        <w:insideH w:val="single" w:color="5B722E" w:themeColor="accent3" w:sz="4" w:space="0"/>
        <w:insideV w:val="single" w:color="5B722E" w:themeColor="accent3" w:sz="4" w:space="0"/>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Pr/>
    </w:tblStylePr>
    <w:tblStylePr w:type="band2Vert">
      <w:rPr>
        <w:color w:val="404040"/>
        <w:sz w:val="22"/>
      </w:rPr>
      <w:tblPr/>
      <w:tcPr>
        <w:shd w:val="clear" w:color="EAF1DC" w:fill="EAF1DC" w:themeFill="accent3" w:themeFillTint="34"/>
      </w:tcPr>
    </w:tblStylePr>
    <w:tblStylePr w:type="band1Horz">
      <w:rPr>
        <w:color w:val="404040"/>
        <w:sz w:val="22"/>
      </w:rPr>
      <w:tbl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pPr>
      <w:spacing w:after="0" w:line="240" w:lineRule="auto"/>
    </w:pPr>
    <w:rPr>
      <w:lang w:eastAsia="ru-RU"/>
      <w:color w:val="404040"/>
      <w:sz w:val="20"/>
      <w:szCs w:val="20"/>
    </w:rPr>
    <w:tblPr>
      <w:tblStyleRowBandSize w:val="1"/>
      <w:tblStyleColBandSize w:val="1"/>
      <w:tblBorders>
        <w:top w:val="single" w:color="4A395F" w:themeColor="accent4" w:sz="4" w:space="0"/>
        <w:left w:val="single" w:color="4A395F" w:themeColor="accent4" w:sz="4" w:space="0"/>
        <w:bottom w:val="single" w:color="4A395F" w:themeColor="accent4" w:sz="4" w:space="0"/>
        <w:right w:val="single" w:color="4A395F" w:themeColor="accent4" w:sz="4" w:space="0"/>
        <w:insideH w:val="single" w:color="4A395F" w:themeColor="accent4" w:sz="4" w:space="0"/>
        <w:insideV w:val="single" w:color="4A395F" w:themeColor="accent4" w:sz="4" w:space="0"/>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Pr/>
    </w:tblStylePr>
    <w:tblStylePr w:type="band2Vert">
      <w:rPr>
        <w:color w:val="404040"/>
        <w:sz w:val="22"/>
      </w:rPr>
      <w:tblPr/>
      <w:tcPr>
        <w:shd w:val="clear" w:color="E5DFEC" w:fill="E5DFEC" w:themeFill="accent4" w:themeFillTint="34"/>
      </w:tcPr>
    </w:tblStylePr>
    <w:tblStylePr w:type="band1Horz">
      <w:rPr>
        <w:color w:val="404040"/>
        <w:sz w:val="22"/>
      </w:rPr>
      <w:tbl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pPr>
      <w:spacing w:after="0" w:line="240" w:lineRule="auto"/>
    </w:pPr>
    <w:rPr>
      <w:lang w:eastAsia="ru-RU"/>
      <w:color w:val="404040"/>
      <w:sz w:val="20"/>
      <w:szCs w:val="20"/>
    </w:rPr>
    <w:tblPr>
      <w:tblStyleRowBandSize w:val="1"/>
      <w:tblStyleColBandSize w:val="1"/>
      <w:tblBorders>
        <w:top w:val="single" w:color="266779" w:themeColor="accent5" w:sz="4" w:space="0"/>
        <w:left w:val="single" w:color="266779" w:themeColor="accent5" w:sz="4" w:space="0"/>
        <w:bottom w:val="single" w:color="266779" w:themeColor="accent5" w:sz="4" w:space="0"/>
        <w:right w:val="single" w:color="266779" w:themeColor="accent5" w:sz="4" w:space="0"/>
        <w:insideH w:val="single" w:color="266779" w:themeColor="accent5" w:sz="4" w:space="0"/>
        <w:insideV w:val="single" w:color="266779" w:themeColor="accent5" w:sz="4" w:space="0"/>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Pr/>
    </w:tblStylePr>
    <w:tblStylePr w:type="band2Vert">
      <w:rPr>
        <w:color w:val="404040"/>
        <w:sz w:val="22"/>
      </w:rPr>
      <w:tblPr/>
      <w:tcPr>
        <w:shd w:val="clear" w:color="DAEEF3" w:fill="DAEEF3" w:themeFill="accent5" w:themeFillTint="34"/>
      </w:tcPr>
    </w:tblStylePr>
    <w:tblStylePr w:type="band1Horz">
      <w:rPr>
        <w:color w:val="404040"/>
        <w:sz w:val="22"/>
      </w:rPr>
      <w:tbl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pPr>
      <w:spacing w:after="0" w:line="240" w:lineRule="auto"/>
    </w:pPr>
    <w:rPr>
      <w:lang w:eastAsia="ru-RU"/>
      <w:color w:val="404040"/>
      <w:sz w:val="20"/>
      <w:szCs w:val="20"/>
    </w:rPr>
    <w:tblPr>
      <w:tblStyleRowBandSize w:val="1"/>
      <w:tblStyleColBandSize w:val="1"/>
      <w:tblBorders>
        <w:top w:val="single" w:color="B15407" w:themeColor="accent6" w:sz="4" w:space="0"/>
        <w:left w:val="single" w:color="B15407" w:themeColor="accent6" w:sz="4" w:space="0"/>
        <w:bottom w:val="single" w:color="B15407" w:themeColor="accent6" w:sz="4" w:space="0"/>
        <w:right w:val="single" w:color="B15407" w:themeColor="accent6" w:sz="4" w:space="0"/>
        <w:insideH w:val="single" w:color="B15407" w:themeColor="accent6" w:sz="4" w:space="0"/>
        <w:insideV w:val="single" w:color="B15407" w:themeColor="accent6" w:sz="4" w:space="0"/>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Pr/>
    </w:tblStylePr>
    <w:tblStylePr w:type="band2Vert">
      <w:rPr>
        <w:color w:val="404040"/>
        <w:sz w:val="22"/>
      </w:rPr>
      <w:tblPr/>
      <w:tcPr>
        <w:shd w:val="clear" w:color="FDE9D8" w:fill="FDE9D8" w:themeFill="accent6" w:themeFillTint="34"/>
      </w:tcPr>
    </w:tblStylePr>
    <w:tblStylePr w:type="band1Horz">
      <w:rPr>
        <w:color w:val="404040"/>
        <w:sz w:val="22"/>
      </w:rPr>
      <w:tbl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color w:val="404040"/>
        <w:sz w:val="22"/>
      </w:rPr>
      <w:tblPr/>
      <w:tcPr>
        <w:tcBorders>
          <w:bottom w:val="single" w:color="7F7F7F" w:themeColor="text1" w:sz="12" w:space="0"/>
        </w:tcBorders>
      </w:tcPr>
    </w:tblStylePr>
    <w:tblStylePr w:type="lastRow">
      <w:rPr>
        <w:color w:val="404040"/>
        <w:sz w:val="22"/>
      </w:rPr>
      <w:tblPr/>
      <w:tcPr>
        <w:tcBorders>
          <w:top w:val="single" w:color="7F7F7F" w:themeColor="text1" w:sz="12" w:space="0"/>
        </w:tcBorders>
      </w:tcPr>
    </w:tblStylePr>
    <w:tblStylePr w:type="firstCol">
      <w:rPr>
        <w:color w:val="404040"/>
        <w:sz w:val="22"/>
      </w:rPr>
      <w:tblPr/>
    </w:tblStylePr>
    <w:tblStylePr w:type="lastCol">
      <w:rPr>
        <w:color w:val="404040"/>
        <w:sz w:val="22"/>
      </w:rPr>
      <w:tblPr/>
      <w:tcPr>
        <w:tcBorders>
          <w:left w:val="single" w:color="7F7F7F" w:themeColor="text1" w:sz="12" w:space="0"/>
        </w:tcBorders>
      </w:tcPr>
    </w:tblStylePr>
    <w:tblStylePr w:type="band1Horz">
      <w:rPr>
        <w:color w:val="404040"/>
        <w:sz w:val="22"/>
      </w:rPr>
      <w:tbl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color w:val="404040"/>
        <w:sz w:val="22"/>
      </w:rPr>
      <w:tblPr/>
      <w:tcPr>
        <w:tcBorders>
          <w:bottom w:val="single" w:color="4F81BD" w:themeColor="accent1" w:sz="12" w:space="0"/>
        </w:tcBorders>
      </w:tcPr>
    </w:tblStylePr>
    <w:tblStylePr w:type="lastRow">
      <w:rPr>
        <w:color w:val="404040"/>
        <w:sz w:val="22"/>
      </w:rPr>
      <w:tblPr/>
      <w:tcPr>
        <w:tcBorders>
          <w:top w:val="single" w:color="4F81BD" w:themeColor="accent1" w:sz="12" w:space="0"/>
        </w:tcBorders>
      </w:tcPr>
    </w:tblStylePr>
    <w:tblStylePr w:type="firstCol">
      <w:rPr>
        <w:color w:val="404040"/>
        <w:sz w:val="22"/>
      </w:rPr>
      <w:tblPr/>
    </w:tblStylePr>
    <w:tblStylePr w:type="lastCol">
      <w:rPr>
        <w:color w:val="404040"/>
        <w:sz w:val="22"/>
      </w:rPr>
      <w:tblPr/>
      <w:tcPr>
        <w:tcBorders>
          <w:left w:val="single" w:color="4F81BD" w:themeColor="accent1" w:sz="12" w:space="0"/>
        </w:tcBorders>
      </w:tc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color w:val="404040"/>
        <w:sz w:val="22"/>
      </w:rPr>
      <w:tblPr/>
      <w:tcPr>
        <w:tcBorders>
          <w:bottom w:val="single" w:color="D99695" w:themeColor="accent2" w:sz="12" w:space="0"/>
        </w:tcBorders>
      </w:tcPr>
    </w:tblStylePr>
    <w:tblStylePr w:type="lastRow">
      <w:rPr>
        <w:color w:val="404040"/>
        <w:sz w:val="22"/>
      </w:rPr>
      <w:tblPr/>
      <w:tcPr>
        <w:tcBorders>
          <w:top w:val="single" w:color="D99695" w:themeColor="accent2" w:sz="12" w:space="0"/>
        </w:tcBorders>
      </w:tcPr>
    </w:tblStylePr>
    <w:tblStylePr w:type="firstCol">
      <w:rPr>
        <w:color w:val="404040"/>
        <w:sz w:val="22"/>
      </w:rPr>
      <w:tblPr/>
    </w:tblStylePr>
    <w:tblStylePr w:type="lastCol">
      <w:rPr>
        <w:color w:val="404040"/>
        <w:sz w:val="22"/>
      </w:rPr>
      <w:tblPr/>
      <w:tcPr>
        <w:tcBorders>
          <w:left w:val="single" w:color="D99695" w:themeColor="accent2" w:sz="12" w:space="0"/>
        </w:tcBorders>
      </w:tc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color w:val="404040"/>
        <w:sz w:val="22"/>
      </w:rPr>
      <w:tblPr/>
      <w:tcPr>
        <w:tcBorders>
          <w:bottom w:val="single" w:color="C3D69B" w:themeColor="accent3" w:sz="12" w:space="0"/>
        </w:tcBorders>
      </w:tcPr>
    </w:tblStylePr>
    <w:tblStylePr w:type="lastRow">
      <w:rPr>
        <w:color w:val="404040"/>
        <w:sz w:val="22"/>
      </w:rPr>
      <w:tblPr/>
      <w:tcPr>
        <w:tcBorders>
          <w:top w:val="single" w:color="C3D69B" w:themeColor="accent3" w:sz="12" w:space="0"/>
        </w:tcBorders>
      </w:tcPr>
    </w:tblStylePr>
    <w:tblStylePr w:type="firstCol">
      <w:rPr>
        <w:color w:val="404040"/>
        <w:sz w:val="22"/>
      </w:rPr>
      <w:tblPr/>
    </w:tblStylePr>
    <w:tblStylePr w:type="lastCol">
      <w:rPr>
        <w:color w:val="404040"/>
        <w:sz w:val="22"/>
      </w:rPr>
      <w:tblPr/>
      <w:tcPr>
        <w:tcBorders>
          <w:left w:val="single" w:color="C3D69B" w:themeColor="accent3" w:sz="12" w:space="0"/>
        </w:tcBorders>
      </w:tc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color w:val="404040"/>
        <w:sz w:val="22"/>
      </w:rPr>
      <w:tblPr/>
      <w:tcPr>
        <w:tcBorders>
          <w:bottom w:val="single" w:color="B2A1C6" w:themeColor="accent4" w:sz="12" w:space="0"/>
        </w:tcBorders>
      </w:tcPr>
    </w:tblStylePr>
    <w:tblStylePr w:type="lastRow">
      <w:rPr>
        <w:color w:val="404040"/>
        <w:sz w:val="22"/>
      </w:rPr>
      <w:tblPr/>
      <w:tcPr>
        <w:tcBorders>
          <w:top w:val="single" w:color="B2A1C6" w:themeColor="accent4" w:sz="12" w:space="0"/>
        </w:tcBorders>
      </w:tcPr>
    </w:tblStylePr>
    <w:tblStylePr w:type="firstCol">
      <w:rPr>
        <w:color w:val="404040"/>
        <w:sz w:val="22"/>
      </w:rPr>
      <w:tblPr/>
    </w:tblStylePr>
    <w:tblStylePr w:type="lastCol">
      <w:rPr>
        <w:color w:val="404040"/>
        <w:sz w:val="22"/>
      </w:rPr>
      <w:tblPr/>
      <w:tcPr>
        <w:tcBorders>
          <w:left w:val="single" w:color="B2A1C6" w:themeColor="accent4" w:sz="12" w:space="0"/>
        </w:tcBorders>
      </w:tc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color w:val="404040"/>
        <w:sz w:val="22"/>
      </w:rPr>
      <w:tblPr/>
      <w:tcPr>
        <w:tcBorders>
          <w:bottom w:val="single" w:color="92CCDC" w:themeColor="accent5" w:sz="12" w:space="0"/>
        </w:tcBorders>
      </w:tcPr>
    </w:tblStylePr>
    <w:tblStylePr w:type="lastRow">
      <w:rPr>
        <w:color w:val="404040"/>
        <w:sz w:val="22"/>
      </w:rPr>
      <w:tblPr/>
      <w:tcPr>
        <w:tcBorders>
          <w:top w:val="single" w:color="92CCDC" w:themeColor="accent5" w:sz="12" w:space="0"/>
        </w:tcBorders>
      </w:tcPr>
    </w:tblStylePr>
    <w:tblStylePr w:type="firstCol">
      <w:rPr>
        <w:color w:val="404040"/>
        <w:sz w:val="22"/>
      </w:rPr>
      <w:tblPr/>
    </w:tblStylePr>
    <w:tblStylePr w:type="lastCol">
      <w:rPr>
        <w:color w:val="404040"/>
        <w:sz w:val="22"/>
      </w:rPr>
      <w:tblPr/>
      <w:tcPr>
        <w:tcBorders>
          <w:left w:val="single" w:color="92CCDC" w:themeColor="accent5" w:sz="12" w:space="0"/>
        </w:tcBorders>
      </w:tc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color w:val="404040"/>
        <w:sz w:val="22"/>
      </w:rPr>
      <w:tblPr/>
      <w:tcPr>
        <w:tcBorders>
          <w:bottom w:val="single" w:color="FAC090" w:themeColor="accent6" w:sz="12" w:space="0"/>
        </w:tcBorders>
      </w:tcPr>
    </w:tblStylePr>
    <w:tblStylePr w:type="lastRow">
      <w:rPr>
        <w:color w:val="404040"/>
        <w:sz w:val="22"/>
      </w:rPr>
      <w:tblPr/>
      <w:tcPr>
        <w:tcBorders>
          <w:top w:val="single" w:color="FAC090" w:themeColor="accent6" w:sz="12" w:space="0"/>
        </w:tcBorders>
      </w:tcPr>
    </w:tblStylePr>
    <w:tblStylePr w:type="firstCol">
      <w:rPr>
        <w:color w:val="404040"/>
        <w:sz w:val="22"/>
      </w:rPr>
      <w:tblPr/>
    </w:tblStylePr>
    <w:tblStylePr w:type="lastCol">
      <w:rPr>
        <w:color w:val="404040"/>
        <w:sz w:val="22"/>
      </w:rPr>
      <w:tblPr/>
      <w:tcPr>
        <w:tcBorders>
          <w:left w:val="single" w:color="FAC090" w:themeColor="accent6" w:sz="12" w:space="0"/>
        </w:tcBorders>
      </w:tc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af0">
    <w:name w:val="Table Grid"/>
    <w:basedOn w:val="a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4">
    <w:name w:val="Сетка таблицы2"/>
    <w:basedOn w:val="a1"/>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wmf"/><Relationship Id="rId10" Type="http://schemas.openxmlformats.org/officeDocument/2006/relationships/image" Target="media/image3.png"/><Relationship Id="rId11" Type="http://schemas.openxmlformats.org/officeDocument/2006/relationships/image" Target="media/image4.wmf"/><Relationship Id="rId12" Type="http://schemas.openxmlformats.org/officeDocument/2006/relationships/oleObject" Target="embeddings/oleObject1.bin"/><Relationship Id="rId13" Type="http://schemas.openxmlformats.org/officeDocument/2006/relationships/image" Target="media/image5.png"/><Relationship Id="rId14" Type="http://schemas.openxmlformats.org/officeDocument/2006/relationships/oleObject" Target="embeddings/oleObject2.bin"/><Relationship Id="rId15" Type="http://schemas.openxmlformats.org/officeDocument/2006/relationships/image" Target="media/image6.png"/><Relationship Id="rId16" Type="http://schemas.openxmlformats.org/officeDocument/2006/relationships/oleObject" Target="embeddings/oleObject3.bin"/><Relationship Id="rId17" Type="http://schemas.openxmlformats.org/officeDocument/2006/relationships/image" Target="media/image7.png"/><Relationship Id="rId18" Type="http://schemas.openxmlformats.org/officeDocument/2006/relationships/oleObject" Target="embeddings/oleObject4.bin"/><Relationship Id="rId19" Type="http://schemas.openxmlformats.org/officeDocument/2006/relationships/image" Target="media/image8.png"/><Relationship Id="rId20" Type="http://schemas.openxmlformats.org/officeDocument/2006/relationships/oleObject" Target="embeddings/oleObject5.bin"/><Relationship Id="rId21" Type="http://schemas.openxmlformats.org/officeDocument/2006/relationships/image" Target="media/image9.png"/><Relationship Id="rId22" Type="http://schemas.openxmlformats.org/officeDocument/2006/relationships/oleObject" Target="embeddings/oleObject6.bin"/><Relationship Id="rId23" Type="http://schemas.openxmlformats.org/officeDocument/2006/relationships/image" Target="media/image10.png"/><Relationship Id="rId24" Type="http://schemas.openxmlformats.org/officeDocument/2006/relationships/oleObject" Target="embeddings/oleObject7.bin"/><Relationship Id="rId25" Type="http://schemas.openxmlformats.org/officeDocument/2006/relationships/image" Target="media/image11.png"/><Relationship Id="rId26" Type="http://schemas.openxmlformats.org/officeDocument/2006/relationships/oleObject" Target="embeddings/oleObject8.bin"/><Relationship Id="rId27" Type="http://schemas.openxmlformats.org/officeDocument/2006/relationships/image" Target="media/image12.png"/><Relationship Id="rId28" Type="http://schemas.openxmlformats.org/officeDocument/2006/relationships/oleObject" Target="embeddings/oleObject9.bin"/><Relationship Id="rId29" Type="http://schemas.openxmlformats.org/officeDocument/2006/relationships/image" Target="media/image13.png"/><Relationship Id="rId30" Type="http://schemas.openxmlformats.org/officeDocument/2006/relationships/oleObject" Target="embeddings/oleObject10.bin"/><Relationship Id="rId31" Type="http://schemas.openxmlformats.org/officeDocument/2006/relationships/image" Target="media/image14.png"/><Relationship Id="rId32" Type="http://schemas.openxmlformats.org/officeDocument/2006/relationships/oleObject" Target="embeddings/oleObject11.bin"/><Relationship Id="rId33" Type="http://schemas.openxmlformats.org/officeDocument/2006/relationships/image" Target="media/image15.png"/><Relationship Id="rId34" Type="http://schemas.openxmlformats.org/officeDocument/2006/relationships/image" Target="media/image16.wmf"/><Relationship Id="rId35" Type="http://schemas.openxmlformats.org/officeDocument/2006/relationships/image" Target="media/image17.wmf"/><Relationship Id="rId36" Type="http://schemas.openxmlformats.org/officeDocument/2006/relationships/image" Target="media/image18.wmf"/><Relationship Id="rId37" Type="http://schemas.openxmlformats.org/officeDocument/2006/relationships/image" Target="media/image19.wmf"/><Relationship Id="rId38" Type="http://schemas.openxmlformats.org/officeDocument/2006/relationships/header" Target="header4.xml"/><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Relationship Id="rId4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8C804-10A5-4B1E-8430-E8349635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LibreOffice/6.2.8.2$Linux_X86_64 LibreOffice_project/20$Build-2</Application>
  <Pages>25</Pages>
  <Words>7884</Words>
  <Characters>54426</Characters>
  <CharactersWithSpaces>61910</CharactersWithSpaces>
  <Paragraphs>558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2023-12-18T20:45:00Z</dcterms:created>
  <dc:creator>Instructor_01</dc:creator>
  <dc:description/>
  <dc:language>ru-RU</dc:language>
  <cp:lastModifiedBy/>
  <dcterms:modified xsi:type="dcterms:W3CDTF">2024-02-19T18:56:09Z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