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A" w:rsidRPr="008D5A0E" w:rsidRDefault="00D6730A" w:rsidP="002F4A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6730A" w:rsidRPr="008D5A0E" w:rsidRDefault="002D0335" w:rsidP="002F4A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Международной </w:t>
      </w:r>
      <w:r w:rsidR="00B4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="00D6730A"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</w:p>
    <w:p w:rsidR="00D6730A" w:rsidRPr="008D5A0E" w:rsidRDefault="002D0335" w:rsidP="002F4A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«Аддитивные технологии: настоящее и будущее»</w:t>
      </w:r>
    </w:p>
    <w:p w:rsidR="00D6730A" w:rsidRPr="008D5A0E" w:rsidRDefault="00D6730A" w:rsidP="008D5A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«ВИАМ» ГНЦ РФ, г. Москва, </w:t>
      </w:r>
      <w:r w:rsidR="002D0335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335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07278E" w:rsidRDefault="00D6730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B433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«Аддитивные технологии</w:t>
      </w:r>
      <w:r w:rsidR="00A1010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настоящее и будущее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конференция)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организованной ФГУП «ВИАМ»</w:t>
      </w:r>
      <w:r w:rsidR="002F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ГНЦ РФ</w:t>
      </w:r>
      <w:r w:rsidR="00DC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7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</w:t>
      </w:r>
      <w:r w:rsidR="00DC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Военно-промышленной комиссии Российской Федерации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образования и науки Российской Федерации</w:t>
      </w:r>
      <w:r w:rsidR="00DC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промышленности и торговли 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DC4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специалисты отраслевых научно-исследовательских и учебных институтов, производственных предприятий и других организаций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присутствовало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507 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из </w:t>
      </w:r>
      <w:r w:rsidR="00F26990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2D0335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З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аслушано </w:t>
      </w:r>
      <w:r w:rsidR="00F2699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2D0335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78E" w:rsidRDefault="002F4A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</w:t>
      </w:r>
      <w:r w:rsidR="00D6730A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пленарном заседании </w:t>
      </w:r>
      <w:r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D6730A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  <w:r w:rsidR="00A10101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49AD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научно-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совета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49AD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ромышленной комиссии Российской Федерации</w:t>
      </w:r>
      <w:r w:rsidR="009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</w:t>
      </w:r>
      <w:r w:rsidR="00915E16" w:rsidRPr="009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коллегии Военно-промышленной комиссии Российской Федерации</w:t>
      </w:r>
      <w:r w:rsidR="00DC49AD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академик РАН Ю.М. </w:t>
      </w:r>
      <w:r w:rsidR="00640F44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Михайлов;</w:t>
      </w:r>
      <w:r w:rsidR="002D0335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hAnsi="Times New Roman"/>
          <w:sz w:val="24"/>
          <w:szCs w:val="24"/>
        </w:rPr>
        <w:t>д</w:t>
      </w:r>
      <w:r w:rsidR="00640F44" w:rsidRPr="00640F44">
        <w:rPr>
          <w:rFonts w:ascii="Times New Roman" w:hAnsi="Times New Roman"/>
          <w:sz w:val="24"/>
          <w:szCs w:val="24"/>
        </w:rPr>
        <w:t xml:space="preserve">иректор Департамента науки </w:t>
      </w:r>
      <w:r w:rsidR="00640F44" w:rsidRPr="00640F44">
        <w:rPr>
          <w:rFonts w:ascii="Times New Roman" w:eastAsia="Calibri" w:hAnsi="Times New Roman" w:cs="Times New Roman"/>
          <w:sz w:val="24"/>
          <w:szCs w:val="24"/>
        </w:rPr>
        <w:t>и технологии</w:t>
      </w:r>
      <w:r w:rsidR="00640F44" w:rsidRPr="00640F44">
        <w:rPr>
          <w:rFonts w:ascii="Times New Roman" w:hAnsi="Times New Roman"/>
          <w:sz w:val="24"/>
          <w:szCs w:val="24"/>
        </w:rPr>
        <w:t xml:space="preserve"> Министерства образования </w:t>
      </w:r>
      <w:r w:rsidR="00640F44" w:rsidRPr="00640F44"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="00DC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640F44" w:rsidRPr="00640F44">
        <w:rPr>
          <w:rFonts w:ascii="Times New Roman" w:eastAsia="Calibri" w:hAnsi="Times New Roman" w:cs="Times New Roman"/>
          <w:sz w:val="24"/>
          <w:szCs w:val="24"/>
        </w:rPr>
        <w:t xml:space="preserve"> С.В. Салихов</w:t>
      </w:r>
      <w:r w:rsidR="00640F44" w:rsidRPr="00640F44">
        <w:rPr>
          <w:rFonts w:ascii="Times New Roman" w:hAnsi="Times New Roman"/>
          <w:sz w:val="24"/>
          <w:szCs w:val="24"/>
        </w:rPr>
        <w:t>;</w:t>
      </w:r>
      <w:r w:rsidR="00640F44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ФГУП «ВИАМ» ГНЦ РФ</w:t>
      </w:r>
      <w:r w:rsid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F44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академик</w:t>
      </w:r>
      <w:r w:rsidR="00285C3F"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49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="00490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Каблов</w:t>
      </w:r>
      <w:proofErr w:type="spellEnd"/>
      <w:r w:rsidR="00640F44" w:rsidRPr="00640F44">
        <w:rPr>
          <w:rFonts w:ascii="Times New Roman" w:hAnsi="Times New Roman"/>
          <w:sz w:val="24"/>
          <w:szCs w:val="24"/>
        </w:rPr>
        <w:t>;</w:t>
      </w:r>
      <w:proofErr w:type="gramEnd"/>
      <w:r w:rsidR="00640F44" w:rsidRPr="00640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4C27">
        <w:rPr>
          <w:rFonts w:ascii="Times New Roman" w:hAnsi="Times New Roman"/>
          <w:sz w:val="24"/>
          <w:szCs w:val="24"/>
        </w:rPr>
        <w:t xml:space="preserve">проректор </w:t>
      </w:r>
      <w:r w:rsidR="00434EC9">
        <w:rPr>
          <w:rFonts w:ascii="Times New Roman" w:hAnsi="Times New Roman"/>
          <w:sz w:val="24"/>
          <w:szCs w:val="24"/>
        </w:rPr>
        <w:t xml:space="preserve">по перспективным </w:t>
      </w:r>
      <w:r w:rsidR="00D9779D" w:rsidRPr="00434EC9">
        <w:rPr>
          <w:rFonts w:ascii="Times New Roman" w:hAnsi="Times New Roman" w:cs="Times New Roman"/>
          <w:sz w:val="24"/>
          <w:szCs w:val="24"/>
        </w:rPr>
        <w:t>прое</w:t>
      </w:r>
      <w:r w:rsidR="00434EC9" w:rsidRPr="00434EC9">
        <w:rPr>
          <w:rFonts w:ascii="Times New Roman" w:hAnsi="Times New Roman" w:cs="Times New Roman"/>
          <w:sz w:val="24"/>
          <w:szCs w:val="24"/>
        </w:rPr>
        <w:t>к</w:t>
      </w:r>
      <w:r w:rsidR="00D9779D" w:rsidRPr="00434EC9">
        <w:rPr>
          <w:rFonts w:ascii="Times New Roman" w:hAnsi="Times New Roman" w:cs="Times New Roman"/>
          <w:sz w:val="24"/>
          <w:szCs w:val="24"/>
        </w:rPr>
        <w:t>там ФГАОУ ВО «СПбПУ»</w:t>
      </w:r>
      <w:r w:rsidR="008C5395">
        <w:rPr>
          <w:rFonts w:ascii="Times New Roman" w:hAnsi="Times New Roman" w:cs="Times New Roman"/>
          <w:sz w:val="24"/>
          <w:szCs w:val="24"/>
        </w:rPr>
        <w:t>,</w:t>
      </w:r>
      <w:r w:rsidR="00434EC9" w:rsidRPr="00434EC9">
        <w:rPr>
          <w:rFonts w:ascii="Times New Roman" w:hAnsi="Times New Roman" w:cs="Times New Roman"/>
          <w:sz w:val="24"/>
          <w:szCs w:val="24"/>
        </w:rPr>
        <w:t xml:space="preserve"> </w:t>
      </w:r>
      <w:r w:rsidR="00434EC9" w:rsidRPr="00434EC9">
        <w:rPr>
          <w:rFonts w:ascii="Times New Roman" w:hAnsi="Times New Roman" w:cs="Times New Roman"/>
          <w:color w:val="000000"/>
          <w:sz w:val="24"/>
          <w:szCs w:val="24"/>
        </w:rPr>
        <w:t xml:space="preserve">к.т.н. </w:t>
      </w:r>
      <w:r w:rsidR="00CD4C27">
        <w:rPr>
          <w:rFonts w:ascii="Times New Roman" w:hAnsi="Times New Roman" w:cs="Times New Roman"/>
          <w:color w:val="000000"/>
          <w:sz w:val="24"/>
          <w:szCs w:val="24"/>
        </w:rPr>
        <w:t>А.И.</w:t>
      </w:r>
      <w:r w:rsidR="00434EC9" w:rsidRPr="00434EC9">
        <w:rPr>
          <w:rFonts w:ascii="Times New Roman" w:hAnsi="Times New Roman" w:cs="Times New Roman"/>
          <w:color w:val="000000"/>
          <w:sz w:val="24"/>
          <w:szCs w:val="24"/>
        </w:rPr>
        <w:t xml:space="preserve"> Боровков</w:t>
      </w:r>
      <w:r w:rsidR="00D9779D" w:rsidRPr="00434EC9">
        <w:rPr>
          <w:rFonts w:ascii="Times New Roman" w:hAnsi="Times New Roman" w:cs="Times New Roman"/>
          <w:sz w:val="24"/>
          <w:szCs w:val="24"/>
        </w:rPr>
        <w:t xml:space="preserve">; Генеральный директор ЗАО «Наука и инновации» </w:t>
      </w:r>
      <w:proofErr w:type="spellStart"/>
      <w:r w:rsidR="00D9779D" w:rsidRPr="00434EC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D9779D" w:rsidRPr="00434E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779D" w:rsidRPr="00434EC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9779D" w:rsidRPr="00434EC9">
        <w:rPr>
          <w:rFonts w:ascii="Times New Roman" w:hAnsi="Times New Roman" w:cs="Times New Roman"/>
          <w:sz w:val="24"/>
          <w:szCs w:val="24"/>
        </w:rPr>
        <w:t>»</w:t>
      </w:r>
      <w:r w:rsidR="008C5395">
        <w:rPr>
          <w:rFonts w:ascii="Times New Roman" w:hAnsi="Times New Roman" w:cs="Times New Roman"/>
          <w:sz w:val="24"/>
          <w:szCs w:val="24"/>
        </w:rPr>
        <w:t>,</w:t>
      </w:r>
      <w:r w:rsidR="00434EC9" w:rsidRPr="00434EC9">
        <w:rPr>
          <w:rFonts w:ascii="Times New Roman" w:hAnsi="Times New Roman" w:cs="Times New Roman"/>
          <w:sz w:val="24"/>
          <w:szCs w:val="24"/>
        </w:rPr>
        <w:t xml:space="preserve"> </w:t>
      </w:r>
      <w:r w:rsidR="00434EC9" w:rsidRPr="00434EC9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профессор, д.т.н. </w:t>
      </w:r>
      <w:r w:rsidR="00CD4C27">
        <w:rPr>
          <w:rFonts w:ascii="Times New Roman" w:hAnsi="Times New Roman" w:cs="Times New Roman"/>
          <w:color w:val="000000"/>
          <w:sz w:val="24"/>
          <w:szCs w:val="24"/>
        </w:rPr>
        <w:t>А.В.</w:t>
      </w:r>
      <w:r w:rsidR="00434EC9" w:rsidRPr="00434EC9">
        <w:rPr>
          <w:rFonts w:ascii="Times New Roman" w:hAnsi="Times New Roman" w:cs="Times New Roman"/>
          <w:color w:val="000000"/>
          <w:sz w:val="24"/>
          <w:szCs w:val="24"/>
        </w:rPr>
        <w:t xml:space="preserve"> Дуб</w:t>
      </w:r>
      <w:r w:rsidR="00434EC9">
        <w:rPr>
          <w:rFonts w:ascii="Times New Roman" w:hAnsi="Times New Roman" w:cs="Times New Roman"/>
          <w:sz w:val="24"/>
          <w:szCs w:val="24"/>
        </w:rPr>
        <w:t>;</w:t>
      </w:r>
      <w:r w:rsidR="00D9779D" w:rsidRPr="00D9779D">
        <w:rPr>
          <w:rFonts w:ascii="Times New Roman" w:hAnsi="Times New Roman" w:cs="Times New Roman"/>
          <w:sz w:val="24"/>
          <w:szCs w:val="24"/>
        </w:rPr>
        <w:t xml:space="preserve"> </w:t>
      </w:r>
      <w:r w:rsidR="00285C3F">
        <w:rPr>
          <w:rFonts w:ascii="Times New Roman" w:hAnsi="Times New Roman" w:cs="Times New Roman"/>
          <w:sz w:val="24"/>
          <w:szCs w:val="24"/>
        </w:rPr>
        <w:t>п</w:t>
      </w:r>
      <w:r w:rsidR="00D9779D" w:rsidRPr="00D9779D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D9779D" w:rsidRPr="00D9779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779D">
        <w:rPr>
          <w:rFonts w:ascii="Times New Roman" w:hAnsi="Times New Roman" w:cs="Times New Roman"/>
          <w:color w:val="000000"/>
          <w:sz w:val="24"/>
          <w:szCs w:val="24"/>
        </w:rPr>
        <w:t>кинского научно-исследовательск</w:t>
      </w:r>
      <w:r w:rsidR="00D9779D" w:rsidRPr="00D9779D">
        <w:rPr>
          <w:rFonts w:ascii="Times New Roman" w:hAnsi="Times New Roman" w:cs="Times New Roman"/>
          <w:color w:val="000000"/>
          <w:sz w:val="24"/>
          <w:szCs w:val="24"/>
        </w:rPr>
        <w:t>ого институт</w:t>
      </w:r>
      <w:r w:rsidR="00285C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79D" w:rsidRPr="00D9779D">
        <w:rPr>
          <w:rFonts w:ascii="Times New Roman" w:hAnsi="Times New Roman" w:cs="Times New Roman"/>
          <w:color w:val="000000"/>
          <w:sz w:val="24"/>
          <w:szCs w:val="24"/>
        </w:rPr>
        <w:t xml:space="preserve"> авиационных технологий</w:t>
      </w:r>
      <w:r w:rsidR="00D9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79D" w:rsidRPr="00D9779D">
        <w:rPr>
          <w:rFonts w:ascii="Times New Roman" w:hAnsi="Times New Roman" w:cs="Times New Roman"/>
          <w:color w:val="000000"/>
          <w:sz w:val="24"/>
          <w:szCs w:val="24"/>
        </w:rPr>
        <w:t>(БАМТРИ)</w:t>
      </w:r>
      <w:r w:rsidR="0043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EC9" w:rsidRPr="00434EC9">
        <w:rPr>
          <w:rFonts w:ascii="Times New Roman" w:hAnsi="Times New Roman" w:cs="Times New Roman"/>
          <w:color w:val="000000"/>
          <w:sz w:val="24"/>
          <w:szCs w:val="24"/>
        </w:rPr>
        <w:t>Хуайсью Ли</w:t>
      </w:r>
      <w:r w:rsidR="00434E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278E" w:rsidRDefault="005913F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1E10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ослании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Собранию на 2015 год Президент России </w:t>
      </w:r>
      <w:r w:rsidR="00B96D22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 предложил реализовать национальную технологическую инициативу, 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призванную</w:t>
      </w:r>
      <w:r w:rsidR="00B96D22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</w:t>
      </w:r>
      <w:r w:rsidR="00B96D22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B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69B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69B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69B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D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национальную безопасность, высокое качество жизни, развитие отраслей нового технологического уклада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короткие сроки снять критическую зависимость от технологий и промышленной продукции стран Евросоюза, США, Японии.</w:t>
      </w:r>
    </w:p>
    <w:p w:rsidR="0007278E" w:rsidRDefault="005913F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Доминантой национальной технологической инициативы должны 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96D22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аддитивные технологии, которые интегрально объединяют остальные пять проектов и в определяющей степени создают условия перехода промышленности к производственным технологиям нового поколения, принципиально 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технологический уклад и 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собой </w:t>
      </w:r>
      <w:r w:rsidR="00731E10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1E10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производственного цикла.</w:t>
      </w:r>
    </w:p>
    <w:p w:rsidR="0007278E" w:rsidRDefault="005913F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аддитивных технологий позволяет в полной мере реализовать основные принципы создания материалов нового поколения, заложенные в Стратегических направлениях развития материалов и технологий на период до 2030 года, которые основаны на результатах фундаментальных и фундаментально-ориентированных исследований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4C27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и базируются на следующем постулате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неразрывность материалов, технологий и конструкций, включая использование </w:t>
      </w:r>
      <w:r w:rsidR="00915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r w:rsidR="00915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 создании материалов и комплексных</w:t>
      </w:r>
      <w:proofErr w:type="gramEnd"/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защиты, а также реализацию полного жизненного цикла (с использованием IT</w:t>
      </w:r>
      <w:r w:rsidR="00A20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технологий) – от создания материала до его эксплуатации в конструкции, диагностики, </w:t>
      </w:r>
      <w:r w:rsidR="00A20BC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A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0BC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</w:t>
      </w:r>
      <w:r w:rsidR="00A20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0BCD"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 и утилизации.</w:t>
      </w:r>
    </w:p>
    <w:p w:rsidR="002809FB" w:rsidRPr="002C436D" w:rsidRDefault="002809FB" w:rsidP="002809F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реализовано на трех уровнях: </w:t>
      </w:r>
    </w:p>
    <w:p w:rsidR="002809FB" w:rsidRPr="002C436D" w:rsidRDefault="002809FB" w:rsidP="002809FB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− производство моделей; </w:t>
      </w:r>
    </w:p>
    <w:p w:rsidR="002809FB" w:rsidRPr="002C436D" w:rsidRDefault="002809FB" w:rsidP="002809FB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− производство прототипов; </w:t>
      </w:r>
    </w:p>
    <w:p w:rsidR="002809FB" w:rsidRPr="002C436D" w:rsidRDefault="002809FB" w:rsidP="002809FB">
      <w:pPr>
        <w:pStyle w:val="a6"/>
        <w:numPr>
          <w:ilvl w:val="0"/>
          <w:numId w:val="4"/>
        </w:numPr>
        <w:shd w:val="clear" w:color="auto" w:fill="FFFFFF"/>
        <w:spacing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(высший) − производство деталей, которые отвечают требованиям конструкторской документации и устанавливаются в сложных технических системах на полный ресурс эксплуатации.</w:t>
      </w:r>
    </w:p>
    <w:p w:rsidR="0007278E" w:rsidRDefault="002C436D" w:rsidP="002809F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аддитивного производства 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промышленность 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увеличить долю предприятий, отраслей промышленности, где в производстве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уровня реализации аддитивных технологий:</w:t>
      </w:r>
    </w:p>
    <w:p w:rsidR="0007278E" w:rsidRDefault="00B96D22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изготовление оснастки, выжигаемых моделей для литья и др.</w:t>
      </w:r>
      <w:r w:rsid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называемое вспомогательное производство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8E" w:rsidRDefault="00B96D22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изготовление демонстраторов и прототипов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элементы конструкций без достижения требуемых физико-механических характеристик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нормативной и конструкторской документацией.</w:t>
      </w:r>
    </w:p>
    <w:p w:rsidR="0007278E" w:rsidRDefault="00B96D2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практику,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на третий уровень реализации аддитивных технологий –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опытных и серийных партий деталей, 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нормативной и конструкторской 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6D" w:rsidRPr="002C4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физико-механическим характеристикам.</w:t>
      </w:r>
    </w:p>
    <w:p w:rsidR="0007278E" w:rsidRDefault="007470A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февраля 2015 года под эгидой Военно-промышленной комиссии Российской Федерации проведена 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</w:t>
      </w: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«Аддитивные технологии в российской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="00B96D22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6D22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ассматривать </w:t>
      </w:r>
      <w:r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аддитивные технологии (в составе группы новых перспективных промышленных технологий) как одно из приоритетных направлений реализации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технологической инициативы.</w:t>
      </w:r>
    </w:p>
    <w:p w:rsidR="0007278E" w:rsidRDefault="00084FB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решений конференции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Военно-промышленной комиссии Российской Федерации в целях развития аддитивных тех</w:t>
      </w:r>
      <w:r w:rsid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 в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промышленности 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1E10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731E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31E10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0A4" w:rsidRP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дорожной карты </w:t>
      </w:r>
      <w:r w:rsidR="0074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аддитивных технологий</w:t>
      </w:r>
      <w:r w:rsidR="00A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академика РАН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Генерального директора 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</w:t>
      </w:r>
      <w:r w:rsidR="00B96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ВИАМ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Каблова.</w:t>
      </w:r>
    </w:p>
    <w:p w:rsidR="0007278E" w:rsidRDefault="002F4AEF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конференции обозначили проблемы, препя</w:t>
      </w:r>
      <w:r w:rsidR="00CA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тствующие</w:t>
      </w:r>
      <w:r w:rsidR="00D6730A"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эффективному </w:t>
      </w:r>
      <w:r w:rsidR="00D6730A"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аддитивных технологий в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именно</w:t>
      </w:r>
      <w:r w:rsidR="00D6730A"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278E" w:rsidRDefault="00346A06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серийного производства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 материалов</w:t>
      </w:r>
      <w:r w:rsidR="00F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аддитивных технологий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</w:t>
      </w:r>
      <w:r w:rsidR="00F2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мелкодисперсных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порошков;</w:t>
      </w:r>
    </w:p>
    <w:p w:rsidR="0007278E" w:rsidRDefault="00F22806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r w:rsidR="002F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проработанный комплекс мер по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2F4A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отечественного оборудования для аддитивных технологий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</w:t>
      </w:r>
      <w:r w:rsidR="002F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программного обеспечения для </w:t>
      </w:r>
      <w:r w:rsidR="00A1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8E" w:rsidRDefault="00A10101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технологий неразрушающего контроля изделий, получаемых с использованием аддитивных технологий</w:t>
      </w:r>
      <w:r w:rsidR="00517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необходимым уровнем достоверности;</w:t>
      </w:r>
    </w:p>
    <w:p w:rsidR="0007278E" w:rsidRDefault="00A10101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нормативной базы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и применения 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аддитивных технологий;</w:t>
      </w:r>
    </w:p>
    <w:p w:rsidR="0007278E" w:rsidRDefault="00A10101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практики проектирования новых изделий с учетом возможностей их изготовления методами аддитивных технологий;</w:t>
      </w:r>
    </w:p>
    <w:p w:rsidR="0007278E" w:rsidRDefault="00A10101" w:rsidP="00280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проработанная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EA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аддитивных технологий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78E" w:rsidRDefault="00D6730A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также отметили важное научное и практическое значение подобных мероприятий для специалистов научных организаций, промышленных предприятий и высших учебных заведений.</w:t>
      </w:r>
    </w:p>
    <w:p w:rsidR="0007278E" w:rsidRDefault="00D6730A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обмена мнениями по </w:t>
      </w:r>
      <w:r w:rsidR="00915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тематике конференции</w:t>
      </w:r>
      <w:r w:rsidRPr="008D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участники решили:</w:t>
      </w:r>
    </w:p>
    <w:p w:rsidR="0007278E" w:rsidRDefault="00915F51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50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 важное практическое значение и</w:t>
      </w:r>
      <w:r w:rsidR="0050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тенсификации внедрения аддитивных технологий в </w:t>
      </w:r>
      <w:r w:rsidR="003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отрасли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</w:t>
      </w:r>
      <w:r w:rsidR="0032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07278E" w:rsidRDefault="00915F51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Первоочередными задачами, обеспечивающими 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скорейшее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аддитивных технологий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следующие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78E" w:rsidRDefault="00D6730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консорциума научных, образовательных и производственных организаций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карты внедрения аддитивных технологий в различные отрасли промышленности РФ, </w:t>
      </w:r>
      <w:r w:rsidR="00C00E9E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7F04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00E9E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</w:t>
      </w:r>
      <w:r w:rsidR="0025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00E9E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C00E9E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изготовители, так и потребители технологических решений, в том числе 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00E9E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компании с государственным участием;</w:t>
      </w:r>
    </w:p>
    <w:p w:rsidR="0007278E" w:rsidRDefault="00D855C9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координационного механизма – Межотраслевого инжинирингового центра «Аддитивные технологии» на базе ФГУП «ВИАМ» ГНЦ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совместно с ведущими отраслевыми институтами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институтами РАН, 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="00CD2DE0" w:rsidRPr="00D8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D855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определять основные приоритеты развития аддитивных технологий, проводить оптимизацию направлений НИР и ОКР в области аддитивных технологий по всем отраслям промышленности;</w:t>
      </w:r>
    </w:p>
    <w:p w:rsidR="0007278E" w:rsidRDefault="00D6730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развитию </w:t>
      </w:r>
      <w:r w:rsidR="0037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сквозного обучения специалистов в области основ интеллектуальных и информационных технологий, компьютерного моделирования, робототехники и аддитивных технологий</w:t>
      </w:r>
      <w:r w:rsidR="00A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101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учебному году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 РФ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8E" w:rsidRDefault="00D6730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национальных стандартов для аддитивного производства, включающ</w:t>
      </w:r>
      <w:r w:rsidR="00915F5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78E" w:rsidRDefault="00D6730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 специальную квалификацию материалов (исходных и синтезированных);</w:t>
      </w:r>
    </w:p>
    <w:p w:rsidR="0007278E" w:rsidRDefault="00CA57C8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технологий изготовления изделий методами аддитивных технологий;</w:t>
      </w:r>
    </w:p>
    <w:p w:rsidR="0007278E" w:rsidRDefault="00D6730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сертификацию методик контроля качества и свойств синтезированных материалов и изделий;</w:t>
      </w:r>
    </w:p>
    <w:p w:rsidR="0007278E" w:rsidRDefault="00D6730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применения изделий аддитивного производства (оценка безопасности, прогнозирование срока службы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C27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8E" w:rsidRDefault="00D9779D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подготовку обращения в Росстандарт России </w:t>
      </w:r>
      <w:r w:rsidR="0018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по стандартизации в области аддитивных технологий и созданию на базе ФГУП «ВИАМ» ГНЦ РФ </w:t>
      </w:r>
      <w:r w:rsidR="00CD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комитета по стандартизации «Аддитивные технологии». </w:t>
      </w:r>
    </w:p>
    <w:p w:rsidR="0007278E" w:rsidRDefault="00915F51">
      <w:pPr>
        <w:shd w:val="clear" w:color="auto" w:fill="FFFFFF"/>
        <w:spacing w:before="100" w:before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участников конференции, р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вышеуказанных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обеспечит </w:t>
      </w:r>
      <w:r w:rsidR="0037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аддитивных технологий в различные о</w:t>
      </w:r>
      <w:r w:rsidR="0050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трасли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РФ, что значительно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и освоения производства новых изделий,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минимизирует</w:t>
      </w:r>
      <w:r w:rsidR="00C0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 производства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 продукции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377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сократит</w:t>
      </w:r>
      <w:r w:rsidR="00377E26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отечественных разработчиков </w:t>
      </w:r>
      <w:r w:rsidR="004E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производителей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5C3F" w:rsidRPr="0028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и промышленной продукции </w:t>
      </w:r>
      <w:r w:rsidR="00D6730A" w:rsidRPr="008D5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поставщиков.</w:t>
      </w:r>
    </w:p>
    <w:p w:rsidR="00AB06DB" w:rsidRPr="00AB06DB" w:rsidRDefault="00AB06DB" w:rsidP="002809FB">
      <w:pPr>
        <w:shd w:val="clear" w:color="auto" w:fill="FFFFFF"/>
        <w:spacing w:before="100" w:before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участники конференции констатировали, что с</w:t>
      </w:r>
      <w:r w:rsidRPr="0015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тепень использования аддитивных технологий в производстве материалов является верным индикатором индустриальной мощи </w:t>
      </w:r>
      <w:r w:rsidR="00CD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развития</w:t>
      </w:r>
      <w:r w:rsidR="00377E26" w:rsidRPr="0037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26" w:rsidRPr="00152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152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B06DB" w:rsidRPr="00AB06DB" w:rsidSect="00B8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F25"/>
    <w:multiLevelType w:val="hybridMultilevel"/>
    <w:tmpl w:val="A866B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40D22"/>
    <w:multiLevelType w:val="hybridMultilevel"/>
    <w:tmpl w:val="F1C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6446"/>
    <w:multiLevelType w:val="hybridMultilevel"/>
    <w:tmpl w:val="27A09840"/>
    <w:lvl w:ilvl="0" w:tplc="17A0D90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6507FD"/>
    <w:multiLevelType w:val="multilevel"/>
    <w:tmpl w:val="32F0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70FAA"/>
    <w:multiLevelType w:val="hybridMultilevel"/>
    <w:tmpl w:val="5E263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CFC"/>
    <w:rsid w:val="00013FCB"/>
    <w:rsid w:val="0007278E"/>
    <w:rsid w:val="00084FB7"/>
    <w:rsid w:val="000D43C5"/>
    <w:rsid w:val="00152806"/>
    <w:rsid w:val="001640F2"/>
    <w:rsid w:val="00182D13"/>
    <w:rsid w:val="00184060"/>
    <w:rsid w:val="001C6062"/>
    <w:rsid w:val="001D7FCA"/>
    <w:rsid w:val="00257F04"/>
    <w:rsid w:val="002809FB"/>
    <w:rsid w:val="00285C3F"/>
    <w:rsid w:val="002C436D"/>
    <w:rsid w:val="002D0335"/>
    <w:rsid w:val="002D69BD"/>
    <w:rsid w:val="002F4AEF"/>
    <w:rsid w:val="003223C2"/>
    <w:rsid w:val="00346A06"/>
    <w:rsid w:val="00350755"/>
    <w:rsid w:val="003514E1"/>
    <w:rsid w:val="00377E26"/>
    <w:rsid w:val="003C1AD6"/>
    <w:rsid w:val="003E541B"/>
    <w:rsid w:val="00412827"/>
    <w:rsid w:val="004213D6"/>
    <w:rsid w:val="0042233E"/>
    <w:rsid w:val="00434EC9"/>
    <w:rsid w:val="00490A54"/>
    <w:rsid w:val="004B462D"/>
    <w:rsid w:val="004E55A9"/>
    <w:rsid w:val="005047AB"/>
    <w:rsid w:val="00517324"/>
    <w:rsid w:val="005913FE"/>
    <w:rsid w:val="005C26D9"/>
    <w:rsid w:val="00613D4B"/>
    <w:rsid w:val="00640F44"/>
    <w:rsid w:val="006B4615"/>
    <w:rsid w:val="00731E10"/>
    <w:rsid w:val="007470A4"/>
    <w:rsid w:val="007B69F8"/>
    <w:rsid w:val="0081639F"/>
    <w:rsid w:val="00873956"/>
    <w:rsid w:val="008C5395"/>
    <w:rsid w:val="008D5A0E"/>
    <w:rsid w:val="008F2E29"/>
    <w:rsid w:val="009150AC"/>
    <w:rsid w:val="00915E16"/>
    <w:rsid w:val="00915F51"/>
    <w:rsid w:val="009B05BF"/>
    <w:rsid w:val="009B7DB0"/>
    <w:rsid w:val="009C6FEC"/>
    <w:rsid w:val="00A10101"/>
    <w:rsid w:val="00A20BCD"/>
    <w:rsid w:val="00A2585E"/>
    <w:rsid w:val="00A345CE"/>
    <w:rsid w:val="00A66EED"/>
    <w:rsid w:val="00A673C2"/>
    <w:rsid w:val="00A93ADB"/>
    <w:rsid w:val="00AB06DB"/>
    <w:rsid w:val="00AD588F"/>
    <w:rsid w:val="00AD7CFC"/>
    <w:rsid w:val="00B37F79"/>
    <w:rsid w:val="00B433DB"/>
    <w:rsid w:val="00B80EFD"/>
    <w:rsid w:val="00B827D2"/>
    <w:rsid w:val="00B96D22"/>
    <w:rsid w:val="00BE5848"/>
    <w:rsid w:val="00C00E9E"/>
    <w:rsid w:val="00C74A1E"/>
    <w:rsid w:val="00CA57C8"/>
    <w:rsid w:val="00CA6146"/>
    <w:rsid w:val="00CD2DE0"/>
    <w:rsid w:val="00CD4C27"/>
    <w:rsid w:val="00CE4771"/>
    <w:rsid w:val="00D3292D"/>
    <w:rsid w:val="00D56E9E"/>
    <w:rsid w:val="00D6242D"/>
    <w:rsid w:val="00D6730A"/>
    <w:rsid w:val="00D855C9"/>
    <w:rsid w:val="00D9779D"/>
    <w:rsid w:val="00DC1F83"/>
    <w:rsid w:val="00DC49AD"/>
    <w:rsid w:val="00E81149"/>
    <w:rsid w:val="00EA0E3D"/>
    <w:rsid w:val="00EE4DB2"/>
    <w:rsid w:val="00F22806"/>
    <w:rsid w:val="00F2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0A"/>
    <w:rPr>
      <w:b/>
      <w:bCs/>
    </w:rPr>
  </w:style>
  <w:style w:type="character" w:styleId="a5">
    <w:name w:val="Emphasis"/>
    <w:basedOn w:val="a0"/>
    <w:uiPriority w:val="20"/>
    <w:qFormat/>
    <w:rsid w:val="00D6730A"/>
    <w:rPr>
      <w:i/>
      <w:iCs/>
    </w:rPr>
  </w:style>
  <w:style w:type="character" w:customStyle="1" w:styleId="apple-converted-space">
    <w:name w:val="apple-converted-space"/>
    <w:basedOn w:val="a0"/>
    <w:rsid w:val="00D6730A"/>
  </w:style>
  <w:style w:type="paragraph" w:styleId="a6">
    <w:name w:val="List Paragraph"/>
    <w:basedOn w:val="a"/>
    <w:uiPriority w:val="99"/>
    <w:qFormat/>
    <w:rsid w:val="00A10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06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D4C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4C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4C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4C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4C2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D4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0A"/>
    <w:rPr>
      <w:b/>
      <w:bCs/>
    </w:rPr>
  </w:style>
  <w:style w:type="character" w:styleId="a5">
    <w:name w:val="Emphasis"/>
    <w:basedOn w:val="a0"/>
    <w:uiPriority w:val="20"/>
    <w:qFormat/>
    <w:rsid w:val="00D6730A"/>
    <w:rPr>
      <w:i/>
      <w:iCs/>
    </w:rPr>
  </w:style>
  <w:style w:type="character" w:customStyle="1" w:styleId="apple-converted-space">
    <w:name w:val="apple-converted-space"/>
    <w:basedOn w:val="a0"/>
    <w:rsid w:val="00D6730A"/>
  </w:style>
  <w:style w:type="paragraph" w:styleId="a6">
    <w:name w:val="List Paragraph"/>
    <w:basedOn w:val="a"/>
    <w:uiPriority w:val="99"/>
    <w:qFormat/>
    <w:rsid w:val="00A10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06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D4C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4C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4C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4C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4C2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D4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D230-9101-477B-8D43-D8FB7F5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sumakova_av</cp:lastModifiedBy>
  <cp:revision>3</cp:revision>
  <cp:lastPrinted>2015-05-26T15:01:00Z</cp:lastPrinted>
  <dcterms:created xsi:type="dcterms:W3CDTF">2015-05-26T15:13:00Z</dcterms:created>
  <dcterms:modified xsi:type="dcterms:W3CDTF">2015-05-27T15:40:00Z</dcterms:modified>
</cp:coreProperties>
</file>